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Pr="008F12C0" w:rsidRDefault="00E21019" w:rsidP="00BF1278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  <w:r w:rsidRPr="008F12C0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  <w:t xml:space="preserve">   </w:t>
      </w:r>
    </w:p>
    <w:p w:rsidR="00E2087B" w:rsidRPr="008F12C0" w:rsidRDefault="00E2087B" w:rsidP="00BF1278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</w:p>
    <w:p w:rsidR="005D0052" w:rsidRPr="008F12C0" w:rsidRDefault="005D0052" w:rsidP="00BF1278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</w:pPr>
      <w:r w:rsidRPr="008F12C0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  <w:t>ПЛАН МЕРОПРИЯТИЙ</w:t>
      </w:r>
    </w:p>
    <w:p w:rsidR="005D0052" w:rsidRPr="008F12C0" w:rsidRDefault="008C1594" w:rsidP="00BF1278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8F12C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8F12C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8F12C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8F12C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:rsidR="005D0052" w:rsidRPr="008F12C0" w:rsidRDefault="00F56B66" w:rsidP="00BF1278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с </w:t>
      </w:r>
      <w:r w:rsidR="00A97CF3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21</w:t>
      </w:r>
      <w:r w:rsidR="00562C37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</w:t>
      </w:r>
      <w:r w:rsidR="00011922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A97CF3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8</w:t>
      </w:r>
      <w:r w:rsidR="000D4901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7CF3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февраля</w:t>
      </w:r>
      <w:r w:rsidR="000045E5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7E55ED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8F12C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:rsidR="00CF2214" w:rsidRPr="008F12C0" w:rsidRDefault="00CF2214" w:rsidP="00BF1278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3881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2543"/>
        <w:gridCol w:w="2267"/>
        <w:gridCol w:w="3402"/>
        <w:gridCol w:w="2653"/>
      </w:tblGrid>
      <w:tr w:rsidR="005B56DB" w:rsidRPr="008F12C0" w:rsidTr="005B56DB">
        <w:trPr>
          <w:trHeight w:val="829"/>
        </w:trPr>
        <w:tc>
          <w:tcPr>
            <w:tcW w:w="193" w:type="pct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:rsidR="005B56DB" w:rsidRPr="008F12C0" w:rsidRDefault="005B56DB" w:rsidP="00BF127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03" w:type="pct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5B56DB" w:rsidRPr="008F12C0" w:rsidRDefault="005B56DB" w:rsidP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174" w:type="pct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BF12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21 февраля  </w:t>
            </w:r>
          </w:p>
          <w:p w:rsidR="005B56DB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5B56DB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Актовый зал ИУЭФ КФУ (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ул.Бутлерова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д.2)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Квиз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посвящённый Дню защитника Отечества </w:t>
            </w: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«Воинская слава России»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патриотическое воспитание студентов, расширение кругозора о подвигах героев нашей страны. </w:t>
            </w: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Количество участников: 30 студентов. (6 команд по 5 человек) </w:t>
            </w: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Квиз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включает в себя 4 раунда обучающего, развлекательного характера.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BF12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21 февраля</w:t>
            </w:r>
          </w:p>
          <w:p w:rsidR="005B56DB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18.30</w:t>
            </w:r>
          </w:p>
          <w:p w:rsidR="005B56DB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КСК КФУ «УНИКС»</w:t>
            </w: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(г. Казань, ул. Профессора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Нужина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д.2)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Гала концерт республиканского телевизионного фестиваля команд КВН РТ 2022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Республиканский фестиваль является ежегодным и одним из самых значимых мероприятий сезона 2022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  По итогам гала-концерта фестиваля команды распределяются по лигам для участия в сезоне 2022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Региональное общественное объединение «Клуб Веселых и Находчивых Республики Татарстан»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BF12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Default="005B56DB" w:rsidP="00BF127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8F12C0">
              <w:rPr>
                <w:color w:val="000000"/>
                <w:shd w:val="clear" w:color="auto" w:fill="FFFFFF"/>
              </w:rPr>
              <w:t>21 февраля</w:t>
            </w:r>
          </w:p>
          <w:p w:rsidR="005B56DB" w:rsidRDefault="005B56DB" w:rsidP="00BF127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5B56DB" w:rsidRPr="008F12C0" w:rsidRDefault="005B56DB" w:rsidP="00BF12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ИМО КФУ</w:t>
            </w:r>
          </w:p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 w:rsidRPr="008F12C0">
              <w:rPr>
                <w:kern w:val="32"/>
              </w:rPr>
              <w:t>(</w:t>
            </w:r>
            <w:proofErr w:type="spellStart"/>
            <w:r w:rsidRPr="008F12C0">
              <w:rPr>
                <w:kern w:val="32"/>
              </w:rPr>
              <w:t>г.Казань</w:t>
            </w:r>
            <w:proofErr w:type="spellEnd"/>
            <w:r w:rsidRPr="008F12C0">
              <w:rPr>
                <w:kern w:val="32"/>
              </w:rPr>
              <w:t xml:space="preserve">, </w:t>
            </w:r>
            <w:proofErr w:type="spellStart"/>
            <w:r w:rsidRPr="008F12C0">
              <w:rPr>
                <w:kern w:val="32"/>
              </w:rPr>
              <w:t>ул.Мартына</w:t>
            </w:r>
            <w:proofErr w:type="spellEnd"/>
            <w:r w:rsidRPr="008F12C0">
              <w:rPr>
                <w:kern w:val="32"/>
              </w:rPr>
              <w:t xml:space="preserve"> </w:t>
            </w:r>
            <w:proofErr w:type="spellStart"/>
            <w:r w:rsidRPr="008F12C0">
              <w:rPr>
                <w:kern w:val="32"/>
              </w:rPr>
              <w:t>Межлаука</w:t>
            </w:r>
            <w:proofErr w:type="spellEnd"/>
            <w:r w:rsidRPr="008F12C0">
              <w:rPr>
                <w:kern w:val="32"/>
              </w:rPr>
              <w:t>, д.3)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 w:rsidRPr="008F12C0">
              <w:rPr>
                <w:color w:val="000000"/>
                <w:shd w:val="clear" w:color="auto" w:fill="FFFFFF"/>
              </w:rPr>
              <w:t>Презентация Молодежной столицы ОИС- Казань 2022 в КФУ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 w:rsidRPr="008F12C0">
              <w:rPr>
                <w:color w:val="000000"/>
                <w:shd w:val="clear" w:color="auto" w:fill="FFFFFF"/>
              </w:rPr>
              <w:t>Презентация активностей и возможностей для молодежи в рамках мероприятий Молодежной столицы ОИС - Казань 2022 (привлечение в качестве волонтеров, участников, зрителей)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>
              <w:t xml:space="preserve">Министерство по делам молодежи Республики Татарстан, </w:t>
            </w:r>
            <w:r w:rsidRPr="008F12C0">
              <w:rPr>
                <w:color w:val="000000"/>
                <w:shd w:val="clear" w:color="auto" w:fill="FFFFFF"/>
              </w:rPr>
              <w:t>Академия молодежной дипломатии, Проектный офис «Россия-ОИС»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BF12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 w:rsidRPr="008F12C0">
              <w:rPr>
                <w:color w:val="000000"/>
                <w:shd w:val="clear" w:color="auto" w:fill="FFFFFF"/>
              </w:rPr>
              <w:t>21-27 февраля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 w:rsidRPr="008F12C0">
              <w:rPr>
                <w:color w:val="000000"/>
                <w:shd w:val="clear" w:color="auto" w:fill="FFFFFF"/>
              </w:rPr>
              <w:t>Конкурсный этап «</w:t>
            </w:r>
            <w:proofErr w:type="spellStart"/>
            <w:r w:rsidRPr="008F12C0">
              <w:rPr>
                <w:color w:val="000000"/>
                <w:shd w:val="clear" w:color="auto" w:fill="FFFFFF"/>
              </w:rPr>
              <w:t>Youth</w:t>
            </w:r>
            <w:proofErr w:type="spellEnd"/>
            <w:r w:rsidRPr="008F12C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12C0">
              <w:rPr>
                <w:color w:val="000000"/>
                <w:shd w:val="clear" w:color="auto" w:fill="FFFFFF"/>
              </w:rPr>
              <w:t>Ambassadots</w:t>
            </w:r>
            <w:proofErr w:type="spellEnd"/>
            <w:r w:rsidRPr="008F12C0">
              <w:rPr>
                <w:color w:val="000000"/>
                <w:shd w:val="clear" w:color="auto" w:fill="FFFFFF"/>
              </w:rPr>
              <w:t xml:space="preserve"> 5.0»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  <w:proofErr w:type="spellEnd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Ambassadors</w:t>
            </w:r>
            <w:proofErr w:type="spellEnd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 xml:space="preserve">/Молодые дипломаты» (далее «Конкурс») направлен на выявление, обучение и оказание поддержки талантливой молодежи в </w:t>
            </w:r>
            <w:r w:rsidRPr="008F1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общественной дипломатии.</w:t>
            </w:r>
          </w:p>
          <w:p w:rsidR="005B56DB" w:rsidRPr="008F12C0" w:rsidRDefault="005B56DB" w:rsidP="00BF1278">
            <w:pPr>
              <w:pStyle w:val="aa"/>
              <w:jc w:val="center"/>
              <w:rPr>
                <w:sz w:val="24"/>
                <w:szCs w:val="24"/>
              </w:rPr>
            </w:pPr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Конкурс состоит из 6 этапов, на каждом из которых участники получают новые знания в области дипломатического протокола, дипломатического этикета, а также инвестиционного, туристического и экспортного потенциала Республики Татарстан. Команда, набравшая наибольшее количество баллов за выполненные практические задания, по итогам Конкурса получит право на участие в международном молодежном мероприятии за рубежом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Министерство по делам молодежи Республики Татарстан, </w:t>
            </w:r>
            <w:r w:rsidRPr="008F12C0">
              <w:rPr>
                <w:color w:val="000000"/>
                <w:shd w:val="clear" w:color="auto" w:fill="FFFFFF"/>
              </w:rPr>
              <w:t>Академия молодежной дипломатии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BF12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Default="005B56DB" w:rsidP="00BF127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8F12C0">
              <w:rPr>
                <w:color w:val="000000"/>
                <w:shd w:val="clear" w:color="auto" w:fill="FFFFFF"/>
              </w:rPr>
              <w:t>21-22 февраля</w:t>
            </w:r>
          </w:p>
          <w:p w:rsidR="005B56DB" w:rsidRDefault="005B56DB" w:rsidP="00BF1278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8F12C0">
              <w:rPr>
                <w:kern w:val="32"/>
              </w:rPr>
              <w:t>г.Казань</w:t>
            </w:r>
            <w:proofErr w:type="spellEnd"/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 w:rsidRPr="008F12C0">
              <w:rPr>
                <w:color w:val="000000"/>
                <w:shd w:val="clear" w:color="auto" w:fill="FFFFFF"/>
              </w:rPr>
              <w:t>Визит делегации Молодежного форума исламского сотрудничества в Казань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Работа согласно программе визита.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BF1278">
            <w:pPr>
              <w:pStyle w:val="a4"/>
              <w:spacing w:before="0" w:beforeAutospacing="0" w:after="0" w:afterAutospacing="0"/>
              <w:jc w:val="center"/>
            </w:pPr>
            <w:r w:rsidRPr="008F12C0">
              <w:rPr>
                <w:color w:val="000000"/>
              </w:rPr>
              <w:t>Министерство по делам молодежи Республики Татарстан</w:t>
            </w:r>
            <w:r w:rsidRPr="008F12C0">
              <w:rPr>
                <w:color w:val="000000"/>
                <w:shd w:val="clear" w:color="auto" w:fill="FFFFFF"/>
              </w:rPr>
              <w:t>, Академия молодежной дипломатии, Проектный офис «Россия-ОИС»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21-28 февраля</w:t>
            </w: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заявлений (представлений) на аттестацию и аттестационных документов в рамках аттестации работников в области государственной молодежной политики Республики Татарстан</w:t>
            </w:r>
          </w:p>
          <w:p w:rsidR="005B56DB" w:rsidRPr="00706E4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неделя приема </w:t>
            </w:r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заявлений (представлений</w:t>
            </w: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pStyle w:val="a4"/>
              <w:jc w:val="center"/>
              <w:rPr>
                <w:color w:val="000000"/>
              </w:rPr>
            </w:pPr>
            <w:r w:rsidRPr="00706E40">
              <w:rPr>
                <w:color w:val="000000"/>
              </w:rPr>
              <w:lastRenderedPageBreak/>
              <w:t xml:space="preserve"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от 25.06.2010 № 425 «О создании республиканской </w:t>
            </w:r>
            <w:proofErr w:type="spellStart"/>
            <w:r w:rsidRPr="00706E40">
              <w:rPr>
                <w:color w:val="000000"/>
              </w:rPr>
              <w:t>аттестационно</w:t>
            </w:r>
            <w:proofErr w:type="spellEnd"/>
            <w:r w:rsidRPr="00706E40">
              <w:rPr>
                <w:color w:val="000000"/>
              </w:rPr>
              <w:t xml:space="preserve">-квалификационной комиссии» состоится аттестация </w:t>
            </w:r>
            <w:r w:rsidRPr="00706E40">
              <w:rPr>
                <w:color w:val="000000"/>
              </w:rPr>
              <w:lastRenderedPageBreak/>
              <w:t>работников в области государственной молодежной политики Республики Татарстан.</w:t>
            </w:r>
          </w:p>
          <w:p w:rsidR="005B56DB" w:rsidRPr="00706E40" w:rsidRDefault="005B56DB" w:rsidP="00F15567">
            <w:pPr>
              <w:pStyle w:val="a4"/>
              <w:jc w:val="center"/>
              <w:rPr>
                <w:color w:val="000000"/>
              </w:rPr>
            </w:pPr>
            <w:r w:rsidRPr="00706E40">
              <w:rPr>
                <w:color w:val="000000"/>
              </w:rPr>
              <w:t>Цель аттестации – установление соответствия уровня профессиональной компетентности работника квалификационным требованиям по занимаемой должности, повышение квалификации и стимулирование повышения персональной ответственности за выполнение профессиональных обязанностей.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21-28 февраля</w:t>
            </w: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Краткосрочный курс для руководителей и специалистов пресс-служб, занимающихся маркетингом в социальных сетях (SМM)</w:t>
            </w:r>
          </w:p>
          <w:p w:rsidR="005B56DB" w:rsidRPr="00706E4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 неделя обучения)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проводится при методической поддержке коммуникационного агентства «Без воды». Программа курса состоит из теоретических лекций, контрольных тестов и практических заданий.</w:t>
            </w: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21-28 февраля</w:t>
            </w: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по программе переподготовка </w:t>
            </w: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дополнительного образования детей и взрослых»</w:t>
            </w:r>
          </w:p>
          <w:p w:rsidR="005B56DB" w:rsidRPr="00706E40" w:rsidRDefault="005B56DB" w:rsidP="00F15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(14 неделя обучения)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обучения 516 академических часов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молодежных, инновационных и профилактических </w:t>
            </w: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 «НАВИГАТОР»</w:t>
            </w: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Default="005B56DB" w:rsidP="00F1556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8F12C0">
              <w:rPr>
                <w:color w:val="000000"/>
                <w:shd w:val="clear" w:color="auto" w:fill="FFFFFF"/>
              </w:rPr>
              <w:t>22 февраля</w:t>
            </w:r>
          </w:p>
          <w:p w:rsidR="005B56DB" w:rsidRDefault="005B56DB" w:rsidP="00F1556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5B56DB" w:rsidRPr="008F12C0" w:rsidRDefault="005B56DB" w:rsidP="00F15567">
            <w:pPr>
              <w:pStyle w:val="a4"/>
              <w:spacing w:before="0" w:beforeAutospacing="0" w:after="0" w:afterAutospacing="0"/>
              <w:jc w:val="center"/>
            </w:pPr>
            <w:r w:rsidRPr="008F12C0">
              <w:rPr>
                <w:kern w:val="32"/>
              </w:rPr>
              <w:t>Присутственные места, Казанский Кремль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Заседание Организационного</w:t>
            </w:r>
            <w:r w:rsidRPr="008F12C0">
              <w:rPr>
                <w:color w:val="000000"/>
                <w:shd w:val="clear" w:color="auto" w:fill="FFFFFF"/>
              </w:rPr>
              <w:t xml:space="preserve"> комитет</w:t>
            </w:r>
            <w:r>
              <w:rPr>
                <w:color w:val="000000"/>
                <w:shd w:val="clear" w:color="auto" w:fill="FFFFFF"/>
              </w:rPr>
              <w:t>а</w:t>
            </w:r>
            <w:r w:rsidRPr="008F12C0">
              <w:rPr>
                <w:color w:val="000000"/>
                <w:shd w:val="clear" w:color="auto" w:fill="FFFFFF"/>
              </w:rPr>
              <w:t xml:space="preserve"> Молодежной столицы ОИС -Казань 2022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pStyle w:val="a4"/>
              <w:spacing w:after="0"/>
              <w:jc w:val="center"/>
            </w:pPr>
            <w:r w:rsidRPr="008F12C0">
              <w:t>Проведение первого Организационного комитета по проведению комплекса мероприятий Молодежной столицы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t xml:space="preserve">Министерство по делам молодежи Республики Татарстан, </w:t>
            </w:r>
            <w:r w:rsidRPr="008F12C0">
              <w:rPr>
                <w:color w:val="000000"/>
                <w:shd w:val="clear" w:color="auto" w:fill="FFFFFF"/>
              </w:rPr>
              <w:t>Академия молодежной дипломатии, Проектный офис «Россия-ОИС»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22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16.00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Арт-резиденция «Созвездие-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ул.Гладилова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, д.49)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Праздничный концерт «Есть такая профессия - Родину защищать»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Праздничная концертная программа для защитников страны – бойцов </w:t>
            </w:r>
            <w:proofErr w:type="spellStart"/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 Совета ветеранов Кировского района </w:t>
            </w:r>
            <w:proofErr w:type="spellStart"/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</w:t>
            </w: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участников Краткосрочного курса</w:t>
            </w:r>
          </w:p>
          <w:p w:rsidR="005B56DB" w:rsidRPr="00706E4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«Молодежное участие»</w:t>
            </w:r>
          </w:p>
          <w:p w:rsidR="005B56DB" w:rsidRPr="00706E4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(10 неделя обучения)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Вебинары</w:t>
            </w:r>
            <w:proofErr w:type="spellEnd"/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проходят в рамках курса </w:t>
            </w:r>
            <w:r w:rsidRPr="0070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«Молодежное участие», где</w:t>
            </w: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специалисты знакомятся с концепцией молодежного участия, инструментами вовлечения молодежи в </w:t>
            </w: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общественную жизнь территории, проработают ключевые компетенции специалистов по работе с молодежью.</w:t>
            </w: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 в течение 10 недель.</w:t>
            </w: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ведет программный директор Корпоративного университета Министерства по делам молодежи – Фельдман Анна Николаевна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молодежных, </w:t>
            </w: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инновационных и профилактических программ «НАВИГАТОР»</w:t>
            </w: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23-25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информационно-поисковый центр, ул. Шоссейная 22а, г. Казань.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школа поисковика «Поисковый фронт»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цикла обучающих методических семинаров для участников Поискового движения России по передовым методикам в поиске, эксгумации и фиксации результатов проведенных поисковых работ, работе с единой системой учета результатов поисковых работ в стране на базе всероссийского информационно-поискового центра в Казани. 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Участники: поисковики Чувашской Республики, 20 чел.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проводится с использованием гранта Президента Российской Федерации на развитие гражданского общества,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предоставленного Фондом президентских грантов.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молодежная организация  «Объединение «Отечество» Республики Татарстан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24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15.00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Арт-резиденция «Созвездие-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ул.Гладилова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, д.49)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Интерактивно-познавательная программа «Академия занимательных наук»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Музыкальное, интерактивное представление, в котором в доступной форме для младших школьников рассказывается об устройстве Солнечной системе и Вселенной.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24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г.Буинск</w:t>
            </w:r>
            <w:proofErr w:type="spellEnd"/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Спектакль «Свет далекой звезды»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«Свет далекой звезды» поставленный по мотивам жизни и творчества классика татарской литературы, лауреата Государственной премии РТ им. Г. Тукая Хасана </w:t>
            </w:r>
            <w:proofErr w:type="spellStart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Туфана</w:t>
            </w:r>
            <w:proofErr w:type="spellEnd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своей постановки режиссер спектакля заслуженный деятель искусств РТ, заслуженный артист РФ Рашид </w:t>
            </w:r>
            <w:proofErr w:type="spellStart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Загидуллин</w:t>
            </w:r>
            <w:proofErr w:type="spellEnd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выбрал жанр притчи, которая является способом художественного осмысления действительности в контексте общечеловеческих гуманистических ценностей. В центре повествования – путь Поэта, полный любви, надежды и преодоления превратностей судьбы. Он, как и другие герои жизненной драмы стоит перед нравственным выбором, определяющим роль и место человека в общей истории. </w:t>
            </w:r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Стихи Хасана </w:t>
            </w:r>
            <w:proofErr w:type="spellStart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Туфана</w:t>
            </w:r>
            <w:proofErr w:type="spellEnd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звучащие со сцены наполняют спектакль тонким лиризмом и трагическим пафосом, отражая максимальную напряжённость происходящего, и являются эмоциональным «ключом» к его осмыслению.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организация Республики Татарстан «Созвездие-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25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19.00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Арт-резиденция «Созвездие-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ул.Гладилова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, д.49)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Спектакль «Изобретательная влюбленная»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Спектакль по пьесе испанского драматурга </w:t>
            </w:r>
            <w:proofErr w:type="spellStart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Лопе</w:t>
            </w:r>
            <w:proofErr w:type="spellEnd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Вега. Спектакль прославляет любовь, его герои отстаивают свое право на счастье и, в конечном счете, получают желаемое. В древней, как мир, истории на сцене разворачивается захватывающая картина страстей, интриг, ревности, соперничества, хитроумных обманов и пылких любовных признаний.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25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Молодежный центр </w:t>
            </w:r>
            <w:proofErr w:type="spellStart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Однодневный форум Волонтеров Победы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2C0">
              <w:rPr>
                <w:rFonts w:ascii="Times New Roman" w:hAnsi="Times New Roman" w:cs="Times New Roman"/>
                <w:sz w:val="24"/>
                <w:szCs w:val="24"/>
              </w:rPr>
              <w:t xml:space="preserve">О планах на год Волонтеров Победы </w:t>
            </w:r>
            <w:proofErr w:type="spellStart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8F12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Добровольческое объединение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25-26 февраля</w:t>
            </w: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706E40" w:rsidRDefault="005B56DB" w:rsidP="00F15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Обучение педагогов-психологов сферы молодежной политики Республики Татарстан по теме «Республиканская программа по </w:t>
            </w:r>
            <w:r w:rsidRPr="00706E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профилактике ВИЧ-инфекции, гепатитов передающихся половым путём и пропаганды здорового образа жизни «Просвет» в городе Набережные Челны.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Обучение педагогов-психологов сферы молодежной политики Республики Татарстан по теме «Республиканская программа по профилактике ВИЧ-инфекции, </w:t>
            </w:r>
            <w:proofErr w:type="gramStart"/>
            <w:r w:rsidRPr="00706E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гепатитов</w:t>
            </w:r>
            <w:proofErr w:type="gramEnd"/>
            <w:r w:rsidRPr="00706E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передающихся половым путём </w:t>
            </w:r>
            <w:r w:rsidRPr="00706E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 пропаганды здорового образа жизни «Просвет»</w:t>
            </w: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706E4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обучения – 18 часов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706E40" w:rsidRDefault="005B56DB" w:rsidP="00F155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молодежных, инновационных и профилактических программ </w:t>
            </w:r>
            <w:r w:rsidRPr="00706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«НАВИГАТОР»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26-27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10:00-22:00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Молодёжный экстрим-парк «УРАМ»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ул.Кремлевская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д.33)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Хип Хоп фестиваль «Рэп на голове 12»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проводится для детей, подростков и молодёжи по 9 номинациям, которые включают и командные битвы.</w:t>
            </w:r>
          </w:p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Задолго до фестиваля проведён онлайн - конкурс скетча и определены победители, которые будут оформлять художественное панно в первый день проведения фестиваля.</w:t>
            </w:r>
          </w:p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площадке фестиваля развернёт свою работу школа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диджея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пройдёт тэг битва, встреча с опытными представителями культуры на конференции знаний.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брейкинга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«Выкрутасы» 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28 февраля 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14.00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Мамадыш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Литературно-музыкальный вечер «Золотой век русской поэзии. Далекий и близкий»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«Золотой век русской поэзии. Далекий и близкий» откроет для современных школьников малоизвестные страницы русской классики, приобщит их к культурному наследию </w:t>
            </w:r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страны. Со сцены исторического здания театра </w:t>
            </w:r>
            <w:proofErr w:type="spellStart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Алафузова</w:t>
            </w:r>
            <w:proofErr w:type="spellEnd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ныне Арт-резиденции «Созвездие-</w:t>
            </w:r>
            <w:proofErr w:type="spellStart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прозвучат произведения Великих русских классиков А. Грибоедова, Ф. Тютчева, А. Фета, И. Тургенева, А. Пушкина и многих других в исполнении артистов труппы театра «Созвездие-</w:t>
            </w:r>
            <w:proofErr w:type="spellStart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Живая музыка, сопровождающая выступления артистов, поможет погрузиться в атмосферу эпохи 19 века.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молодежная общественная организация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Татарстан «Созвездие-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28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Мамадыш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Спектакль «Свет далекой звезды»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«Свет далекой звезды» поставленный по мотивам жизни и творчества классика татарской литературы, лауреата Государственной премии РТ им. Г. Тукая Хасана </w:t>
            </w:r>
            <w:proofErr w:type="spellStart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Туфана</w:t>
            </w:r>
            <w:proofErr w:type="spellEnd"/>
            <w:r w:rsidRPr="008F12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организация Республики Татарстан «Созвездие-</w:t>
            </w:r>
            <w:proofErr w:type="spellStart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«Снежный десант»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Концепция акции состоит в выезде в каждый из муниципальных районов отряда из 10-15 человек из числа представителей студенческих отрядов. Совместно с представителями молодежи муниципального района они ежедневно выезжают в населенные пункты, чтобы на протяжении 5-7 дней оказывать безвозмездную помощь </w:t>
            </w:r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местным жителям.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Татарстанским региональным отделением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молодежной общероссийской общественной организации «Российские Студенческие Отряды»</w:t>
            </w:r>
          </w:p>
        </w:tc>
      </w:tr>
      <w:tr w:rsidR="005B56DB" w:rsidRPr="008F12C0" w:rsidTr="005B56DB">
        <w:trPr>
          <w:trHeight w:val="335"/>
        </w:trPr>
        <w:tc>
          <w:tcPr>
            <w:tcW w:w="193" w:type="pct"/>
          </w:tcPr>
          <w:p w:rsidR="005B56DB" w:rsidRPr="008F12C0" w:rsidRDefault="005B56DB" w:rsidP="00F1556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</w:t>
            </w:r>
          </w:p>
          <w:p w:rsidR="005B56DB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Районы Республики Татарстан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DB" w:rsidRPr="008F12C0" w:rsidRDefault="005B56DB" w:rsidP="00F15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8F12C0">
              <w:rPr>
                <w:rFonts w:ascii="Times New Roman" w:hAnsi="Times New Roman" w:cs="Times New Roman"/>
                <w:sz w:val="24"/>
                <w:szCs w:val="24"/>
              </w:rPr>
              <w:t>-тур «Работа молодым»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Work</w:t>
            </w:r>
            <w:proofErr w:type="spellEnd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-тур направлен на информирование молодежи о возможности регистрации на портале, решение вопросов трудовой занятости, а также продвижение лучших практик трудоустройства молодежи.</w:t>
            </w:r>
          </w:p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рамках акции на территории образовательных организаций состоится </w:t>
            </w:r>
            <w:proofErr w:type="spellStart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маркет</w:t>
            </w:r>
            <w:proofErr w:type="spellEnd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вакансий от работодателей, презентация портала «Работа молодым», презентация движения студенческих отрядов «</w:t>
            </w:r>
            <w:proofErr w:type="spellStart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ТрудКрут</w:t>
            </w:r>
            <w:proofErr w:type="spellEnd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квиз</w:t>
            </w:r>
            <w:proofErr w:type="spellEnd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Эшлибез</w:t>
            </w:r>
            <w:proofErr w:type="spellEnd"/>
            <w:r w:rsidRPr="008F1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открытые дискуссионные площадки с работодателями, стратегическая сессия по вопросу трудоустройства и временной занятости молодежи.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6DB" w:rsidRPr="008F12C0" w:rsidRDefault="005B56DB" w:rsidP="00F1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F12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8F12C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</w:tbl>
    <w:p w:rsidR="005D0052" w:rsidRPr="008F12C0" w:rsidRDefault="005D0052" w:rsidP="00BF127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8F12C0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05CE7"/>
    <w:rsid w:val="00011922"/>
    <w:rsid w:val="00044662"/>
    <w:rsid w:val="00047438"/>
    <w:rsid w:val="000722FA"/>
    <w:rsid w:val="00072302"/>
    <w:rsid w:val="00073DBB"/>
    <w:rsid w:val="000763B6"/>
    <w:rsid w:val="000853D3"/>
    <w:rsid w:val="000A6C6D"/>
    <w:rsid w:val="000B1853"/>
    <w:rsid w:val="000B5AEA"/>
    <w:rsid w:val="000D4901"/>
    <w:rsid w:val="000E2B78"/>
    <w:rsid w:val="00101288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237A3D"/>
    <w:rsid w:val="0026015A"/>
    <w:rsid w:val="002637BF"/>
    <w:rsid w:val="00283FFA"/>
    <w:rsid w:val="002B4A51"/>
    <w:rsid w:val="002C330E"/>
    <w:rsid w:val="003518E2"/>
    <w:rsid w:val="00360307"/>
    <w:rsid w:val="003A2FB2"/>
    <w:rsid w:val="003B0E67"/>
    <w:rsid w:val="003C6FCA"/>
    <w:rsid w:val="003D2EB5"/>
    <w:rsid w:val="0040560F"/>
    <w:rsid w:val="004060B4"/>
    <w:rsid w:val="004208D0"/>
    <w:rsid w:val="00431600"/>
    <w:rsid w:val="00435917"/>
    <w:rsid w:val="00435D60"/>
    <w:rsid w:val="004634A0"/>
    <w:rsid w:val="004676B2"/>
    <w:rsid w:val="0047088E"/>
    <w:rsid w:val="004A6B07"/>
    <w:rsid w:val="004B4DCA"/>
    <w:rsid w:val="004C71CA"/>
    <w:rsid w:val="004D0732"/>
    <w:rsid w:val="004F76AE"/>
    <w:rsid w:val="0050553E"/>
    <w:rsid w:val="005166D6"/>
    <w:rsid w:val="005229B0"/>
    <w:rsid w:val="005422D6"/>
    <w:rsid w:val="00562C37"/>
    <w:rsid w:val="00575B2B"/>
    <w:rsid w:val="00582B34"/>
    <w:rsid w:val="0059134F"/>
    <w:rsid w:val="005B56DB"/>
    <w:rsid w:val="005D0052"/>
    <w:rsid w:val="005D578E"/>
    <w:rsid w:val="005E1EF6"/>
    <w:rsid w:val="0060026C"/>
    <w:rsid w:val="00622BC3"/>
    <w:rsid w:val="0063559C"/>
    <w:rsid w:val="00635759"/>
    <w:rsid w:val="00636B69"/>
    <w:rsid w:val="00647D37"/>
    <w:rsid w:val="00652A86"/>
    <w:rsid w:val="006805D1"/>
    <w:rsid w:val="00694C0B"/>
    <w:rsid w:val="006C6A28"/>
    <w:rsid w:val="006D405A"/>
    <w:rsid w:val="007244ED"/>
    <w:rsid w:val="00734CF9"/>
    <w:rsid w:val="00736E6E"/>
    <w:rsid w:val="00761E8B"/>
    <w:rsid w:val="00782CAF"/>
    <w:rsid w:val="007868D2"/>
    <w:rsid w:val="00793CCA"/>
    <w:rsid w:val="007E55ED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B4E6D"/>
    <w:rsid w:val="008C1594"/>
    <w:rsid w:val="008D040C"/>
    <w:rsid w:val="008F12C0"/>
    <w:rsid w:val="009122A4"/>
    <w:rsid w:val="009615AC"/>
    <w:rsid w:val="0097192F"/>
    <w:rsid w:val="00986611"/>
    <w:rsid w:val="0099429D"/>
    <w:rsid w:val="009A19AC"/>
    <w:rsid w:val="009B6C51"/>
    <w:rsid w:val="009E1152"/>
    <w:rsid w:val="009E5F50"/>
    <w:rsid w:val="00A103AE"/>
    <w:rsid w:val="00A31BAA"/>
    <w:rsid w:val="00A7105F"/>
    <w:rsid w:val="00A93BD1"/>
    <w:rsid w:val="00A9535B"/>
    <w:rsid w:val="00A97CF3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1278"/>
    <w:rsid w:val="00BF595E"/>
    <w:rsid w:val="00C00DC1"/>
    <w:rsid w:val="00C42479"/>
    <w:rsid w:val="00C562FD"/>
    <w:rsid w:val="00CC3F19"/>
    <w:rsid w:val="00CF2214"/>
    <w:rsid w:val="00D04D8B"/>
    <w:rsid w:val="00D07F47"/>
    <w:rsid w:val="00D1109A"/>
    <w:rsid w:val="00D309EA"/>
    <w:rsid w:val="00D84E1A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42B48"/>
    <w:rsid w:val="00E47318"/>
    <w:rsid w:val="00E6085B"/>
    <w:rsid w:val="00E71998"/>
    <w:rsid w:val="00E72D45"/>
    <w:rsid w:val="00E97D83"/>
    <w:rsid w:val="00EA245E"/>
    <w:rsid w:val="00EA26B2"/>
    <w:rsid w:val="00EA4457"/>
    <w:rsid w:val="00EB5731"/>
    <w:rsid w:val="00EB70DA"/>
    <w:rsid w:val="00EB7169"/>
    <w:rsid w:val="00ED047F"/>
    <w:rsid w:val="00EE1920"/>
    <w:rsid w:val="00EF0AEE"/>
    <w:rsid w:val="00F15567"/>
    <w:rsid w:val="00F426C7"/>
    <w:rsid w:val="00F46DF8"/>
    <w:rsid w:val="00F5326C"/>
    <w:rsid w:val="00F56B66"/>
    <w:rsid w:val="00F573E5"/>
    <w:rsid w:val="00F757FC"/>
    <w:rsid w:val="00F875E2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8A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4</cp:revision>
  <cp:lastPrinted>2019-04-25T06:21:00Z</cp:lastPrinted>
  <dcterms:created xsi:type="dcterms:W3CDTF">2022-02-15T18:16:00Z</dcterms:created>
  <dcterms:modified xsi:type="dcterms:W3CDTF">2022-04-19T11:01:00Z</dcterms:modified>
</cp:coreProperties>
</file>