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8080" w:leader="none"/>
        </w:tabs>
        <w:ind w:firstLine="709"/>
        <w:jc w:val="center"/>
        <w:rPr/>
      </w:pPr>
      <w:r>
        <w:rPr>
          <w:b/>
          <w:sz w:val="28"/>
          <w:szCs w:val="28"/>
        </w:rPr>
        <w:t>Проект отчета</w:t>
      </w:r>
      <w:r>
        <w:rPr>
          <w:rFonts w:eastAsia="Times New Roman"/>
          <w:b/>
          <w:color w:val="000000"/>
          <w:sz w:val="28"/>
        </w:rPr>
        <w:t xml:space="preserve"> </w:t>
      </w:r>
    </w:p>
    <w:p>
      <w:pPr>
        <w:pStyle w:val="Normal"/>
        <w:tabs>
          <w:tab w:val="clear" w:pos="708"/>
          <w:tab w:val="left" w:pos="8080" w:leader="none"/>
        </w:tabs>
        <w:ind w:firstLine="709"/>
        <w:jc w:val="center"/>
        <w:rPr/>
      </w:pPr>
      <w:r>
        <w:rPr>
          <w:rFonts w:eastAsia="Times New Roman"/>
          <w:b/>
          <w:color w:val="000000"/>
          <w:sz w:val="28"/>
        </w:rPr>
        <w:t>о реализации публично сформированных целей и задач</w:t>
      </w:r>
    </w:p>
    <w:p>
      <w:pPr>
        <w:pStyle w:val="Normal"/>
        <w:tabs>
          <w:tab w:val="clear" w:pos="708"/>
          <w:tab w:val="left" w:pos="8080" w:leader="none"/>
        </w:tabs>
        <w:ind w:firstLine="709"/>
        <w:jc w:val="center"/>
        <w:rPr>
          <w:rFonts w:eastAsia="Times New Roman"/>
          <w:b/>
          <w:color w:val="000000"/>
          <w:sz w:val="28"/>
        </w:rPr>
      </w:pPr>
      <w:r>
        <w:rPr>
          <w:rFonts w:eastAsia="Times New Roman"/>
          <w:b/>
          <w:color w:val="000000"/>
          <w:sz w:val="28"/>
        </w:rPr>
        <w:t xml:space="preserve">Министерства по делам молодежи Республики Татарстан за 2024 год </w:t>
      </w:r>
    </w:p>
    <w:p>
      <w:pPr>
        <w:pStyle w:val="Normal"/>
        <w:tabs>
          <w:tab w:val="clear" w:pos="708"/>
          <w:tab w:val="left" w:pos="8080" w:leader="none"/>
        </w:tabs>
        <w:ind w:firstLine="709"/>
        <w:jc w:val="center"/>
        <w:rPr>
          <w:rFonts w:eastAsia="Times New Roman"/>
          <w:b/>
          <w:color w:val="000000"/>
          <w:sz w:val="28"/>
        </w:rPr>
      </w:pPr>
      <w:r>
        <w:rPr>
          <w:rFonts w:eastAsia="Times New Roman"/>
          <w:b/>
          <w:color w:val="000000"/>
          <w:sz w:val="28"/>
        </w:rPr>
      </w:r>
    </w:p>
    <w:p>
      <w:pPr>
        <w:pStyle w:val="Normal"/>
        <w:ind w:firstLine="709"/>
        <w:jc w:val="both"/>
        <w:rPr>
          <w:rFonts w:eastAsia="Calibri"/>
          <w:i/>
          <w:i/>
          <w:sz w:val="28"/>
          <w:szCs w:val="28"/>
        </w:rPr>
      </w:pPr>
      <w:r>
        <w:rPr>
          <w:rFonts w:eastAsia="Calibri"/>
          <w:i/>
          <w:sz w:val="28"/>
          <w:szCs w:val="28"/>
        </w:rPr>
        <w:t>Данный проект отчета проходит процедуру общественного обсуждения. Предложения и замечания к нему принимаются с 3 по 13 февраля 2025 года.</w:t>
      </w:r>
    </w:p>
    <w:p>
      <w:pPr>
        <w:pStyle w:val="Normal"/>
        <w:ind w:firstLine="709"/>
        <w:jc w:val="both"/>
        <w:rPr>
          <w:rFonts w:eastAsia="Calibri"/>
          <w:i/>
          <w:i/>
          <w:sz w:val="28"/>
          <w:szCs w:val="28"/>
        </w:rPr>
      </w:pPr>
      <w:r>
        <w:rPr>
          <w:rFonts w:eastAsia="Calibri"/>
          <w:i/>
          <w:sz w:val="28"/>
          <w:szCs w:val="28"/>
        </w:rPr>
        <w:t xml:space="preserve">19 февраля 2025 года в Общественной палате Республики Татарстан запланировано проведение собрания участников общественного обсуждения, </w:t>
        <w:br/>
        <w:t>на котором будет обсужден проект отчета и результаты исполнения публично сформированных целей и задач министерства.</w:t>
      </w:r>
    </w:p>
    <w:p>
      <w:pPr>
        <w:pStyle w:val="Normal"/>
        <w:ind w:firstLine="709"/>
        <w:jc w:val="both"/>
        <w:rPr>
          <w:rFonts w:eastAsia="Calibri"/>
          <w:i/>
          <w:i/>
          <w:sz w:val="28"/>
          <w:szCs w:val="28"/>
        </w:rPr>
      </w:pPr>
      <w:r>
        <w:rPr>
          <w:rFonts w:eastAsia="Calibri"/>
          <w:i/>
          <w:sz w:val="28"/>
          <w:szCs w:val="28"/>
        </w:rPr>
        <w:t xml:space="preserve">Подробная информация о способах участия в общественных обсуждениях: </w:t>
      </w:r>
    </w:p>
    <w:p>
      <w:pPr>
        <w:pStyle w:val="Normal"/>
        <w:jc w:val="both"/>
        <w:rPr>
          <w:rFonts w:eastAsia="Calibri"/>
          <w:sz w:val="28"/>
          <w:u w:val="single"/>
        </w:rPr>
      </w:pPr>
      <w:r>
        <w:rPr>
          <w:rFonts w:eastAsia="Calibri"/>
          <w:i/>
          <w:sz w:val="28"/>
          <w:szCs w:val="28"/>
          <w:highlight w:val="yellow"/>
          <w:u w:val="single"/>
        </w:rPr>
        <w:t>ссылка формируется Общественной палатой РТ</w:t>
      </w:r>
    </w:p>
    <w:p>
      <w:pPr>
        <w:pStyle w:val="Normal"/>
        <w:ind w:firstLine="709"/>
        <w:rPr>
          <w:rFonts w:eastAsia="Times New Roman"/>
        </w:rPr>
      </w:pPr>
      <w:r>
        <w:rPr>
          <w:rFonts w:eastAsia="Times New Roman"/>
        </w:rPr>
      </w:r>
    </w:p>
    <w:p>
      <w:pPr>
        <w:pStyle w:val="Normal"/>
        <w:ind w:firstLine="709"/>
        <w:jc w:val="both"/>
        <w:rPr/>
      </w:pPr>
      <w:r>
        <w:rPr>
          <w:rFonts w:eastAsia="Times New Roman"/>
          <w:b/>
          <w:color w:val="000000"/>
          <w:sz w:val="28"/>
        </w:rPr>
        <w:t xml:space="preserve">1. «Содействие трудовому воспитанию молодежи. Привлечение не менее </w:t>
        <w:br/>
        <w:t xml:space="preserve">5 тыс. человек из числа молодежи для временной трудовой занятости </w:t>
        <w:br/>
        <w:t>на предприятиях Республики Татарстан».</w:t>
      </w:r>
    </w:p>
    <w:p>
      <w:pPr>
        <w:pStyle w:val="Normal"/>
        <w:ind w:firstLine="709"/>
        <w:jc w:val="both"/>
        <w:rPr>
          <w:rFonts w:eastAsia="Times New Roman"/>
          <w:b/>
          <w:color w:val="000000"/>
          <w:sz w:val="28"/>
        </w:rPr>
      </w:pPr>
      <w:r>
        <w:rPr>
          <w:rFonts w:eastAsia="Times New Roman"/>
          <w:b/>
          <w:color w:val="000000"/>
          <w:sz w:val="28"/>
        </w:rPr>
        <w:t xml:space="preserve"> </w:t>
      </w:r>
    </w:p>
    <w:p>
      <w:pPr>
        <w:pStyle w:val="Normal"/>
        <w:ind w:firstLine="709"/>
        <w:jc w:val="both"/>
        <w:rPr>
          <w:rFonts w:eastAsia="Times New Roman"/>
          <w:b/>
          <w:i/>
          <w:i/>
          <w:iCs/>
          <w:color w:val="000000"/>
          <w:sz w:val="28"/>
        </w:rPr>
      </w:pPr>
      <w:r>
        <w:rPr>
          <w:rFonts w:eastAsia="Times New Roman"/>
          <w:b/>
          <w:i/>
          <w:iCs/>
          <w:color w:val="000000"/>
          <w:sz w:val="28"/>
        </w:rPr>
        <w:t>По итогам 2024 года трудоустроено 13 328 человек на предприятия Республики Татарстан.</w:t>
      </w:r>
    </w:p>
    <w:p>
      <w:pPr>
        <w:pStyle w:val="Normal"/>
        <w:ind w:firstLine="709"/>
        <w:jc w:val="both"/>
        <w:rPr>
          <w:rFonts w:eastAsia="Times New Roman"/>
          <w:b/>
          <w:color w:val="000000"/>
          <w:sz w:val="16"/>
        </w:rPr>
      </w:pPr>
      <w:r>
        <w:rPr>
          <w:rFonts w:eastAsia="Times New Roman"/>
          <w:b/>
          <w:color w:val="000000"/>
          <w:sz w:val="16"/>
        </w:rPr>
      </w:r>
    </w:p>
    <w:p>
      <w:pPr>
        <w:pStyle w:val="Normal"/>
        <w:spacing w:before="0" w:after="0"/>
        <w:ind w:firstLine="709"/>
        <w:contextualSpacing/>
        <w:jc w:val="both"/>
        <w:rPr>
          <w:rFonts w:eastAsia="Times New Roman"/>
          <w:iCs/>
          <w:sz w:val="28"/>
          <w:szCs w:val="28"/>
        </w:rPr>
      </w:pPr>
      <w:r>
        <w:rPr>
          <w:rFonts w:eastAsia="Times New Roman"/>
          <w:iCs/>
          <w:sz w:val="28"/>
          <w:szCs w:val="28"/>
        </w:rPr>
        <w:t xml:space="preserve">По вопросу трудоустройства молодежи на производственные предприятия сегодня системно работает движение студенческих отрядов по всей стране, основной целью которых является создание новых возможностей для молодежи </w:t>
        <w:br/>
        <w:t xml:space="preserve">в производственных отраслях экономики, повышение престижа рабочих профессий. </w:t>
      </w:r>
    </w:p>
    <w:p>
      <w:pPr>
        <w:pStyle w:val="Normal"/>
        <w:spacing w:before="0" w:after="0"/>
        <w:ind w:firstLine="709"/>
        <w:contextualSpacing/>
        <w:jc w:val="both"/>
        <w:rPr>
          <w:rFonts w:eastAsia="Times New Roman"/>
          <w:iCs/>
          <w:sz w:val="28"/>
          <w:szCs w:val="28"/>
        </w:rPr>
      </w:pPr>
      <w:r>
        <w:rPr>
          <w:rFonts w:eastAsia="Times New Roman"/>
          <w:iCs/>
          <w:sz w:val="28"/>
          <w:szCs w:val="28"/>
        </w:rPr>
        <w:t xml:space="preserve">В Республике Татарстан организована работа опорной площадки по развитию производственных отрядов: при поддержке Министерства по делам молодёжи Республики Татарстан ГБУ «Республиканский центр студенческих трудовых отрядов» совместно с Татарстанским региональным отделением Молодежной общероссийской общественной организации «Российские Студенческие Отряды» создаются производственные отряды – одно из наиболее динамично развивающихся направлений студенческих отрядов, разработана программа по развитию и распространению успешной практики в другие регионы, реализуются программы профессионального обучения по производственным специальностям. </w:t>
      </w:r>
    </w:p>
    <w:p>
      <w:pPr>
        <w:pStyle w:val="Normal"/>
        <w:spacing w:before="0" w:after="0"/>
        <w:ind w:firstLine="709"/>
        <w:contextualSpacing/>
        <w:jc w:val="both"/>
        <w:rPr/>
      </w:pPr>
      <w:r>
        <w:rPr>
          <w:rFonts w:eastAsia="Times New Roman"/>
          <w:iCs/>
          <w:sz w:val="28"/>
          <w:szCs w:val="28"/>
        </w:rPr>
        <w:t xml:space="preserve">В 2024 году в республике прошло три всероссийских совещания по развитию производственных отрядов, участниками которых стали 80 кураторов движения </w:t>
        <w:br/>
        <w:t xml:space="preserve">и представителей учебных заведений из 18 субъектов Российской Федерации, </w:t>
        <w:br/>
        <w:t>в том числе из новых регионов России.</w:t>
      </w:r>
    </w:p>
    <w:p>
      <w:pPr>
        <w:pStyle w:val="Normal"/>
        <w:shd w:val="clear" w:color="auto" w:fill="FFFFFF"/>
        <w:ind w:firstLine="709"/>
        <w:jc w:val="both"/>
        <w:rPr>
          <w:rFonts w:eastAsia="Times New Roman"/>
          <w:iCs/>
          <w:sz w:val="28"/>
          <w:szCs w:val="28"/>
        </w:rPr>
      </w:pPr>
      <w:r>
        <w:rPr>
          <w:rFonts w:eastAsia="Times New Roman"/>
          <w:iCs/>
          <w:sz w:val="28"/>
          <w:szCs w:val="28"/>
        </w:rPr>
        <w:t>С каждым годом студенческие отряды все больше привлекают внимание крупных предприятий республики. В условиях, когда проблема выпуска из вуза или техникума «готового специалиста», которого можно сразу ставить к «станку», остается актуальной, промышленные предприятия Татарстана, с учетом большой потребности в кадрах, готовы создавать наилучшие условия для трудоустройства молодежи: адаптировать график работы для совмещения с учебой, проводить профильное обучение по рабочим специальностям, увеличивать фонд оплаты труда молодых специалистов, организовывать проживание и комфортные бытовые условия.</w:t>
      </w:r>
    </w:p>
    <w:p>
      <w:pPr>
        <w:pStyle w:val="Normal"/>
        <w:shd w:val="clear" w:color="auto" w:fill="FFFFFF"/>
        <w:ind w:firstLine="709"/>
        <w:jc w:val="both"/>
        <w:rPr>
          <w:sz w:val="28"/>
          <w:szCs w:val="28"/>
        </w:rPr>
      </w:pPr>
      <w:r>
        <w:rPr>
          <w:sz w:val="28"/>
          <w:szCs w:val="28"/>
        </w:rPr>
        <w:t xml:space="preserve">В рамках производственного направления на предприятиях республики представители движения работают по специальностям электромонтер, электромонтажник, приборист, слесарь механосборочных, слесарь по ремонту летательных аппаратов, слесарь по ремонту дорожно-строительных машин, оператор ЭВМ, чертежник-конструктор, оператор станков с программным управлением, слесарь по контрольно-измерительным приборам, слесарь по ремонту автомобилей, слесарь-ремонтник, слесарь-электрик, станочник, контролер качества. </w:t>
      </w:r>
    </w:p>
    <w:p>
      <w:pPr>
        <w:pStyle w:val="Normal"/>
        <w:shd w:val="clear" w:color="auto" w:fill="FFFFFF"/>
        <w:ind w:firstLine="709"/>
        <w:jc w:val="both"/>
        <w:rPr>
          <w:sz w:val="28"/>
          <w:szCs w:val="28"/>
        </w:rPr>
      </w:pPr>
      <w:r>
        <w:rPr>
          <w:sz w:val="28"/>
          <w:szCs w:val="28"/>
        </w:rPr>
        <w:t>В качестве подготовки к трудоустройству молодые люди проходят профессиональное обучение по выбранной специальности.</w:t>
      </w:r>
    </w:p>
    <w:p>
      <w:pPr>
        <w:pStyle w:val="Normal"/>
        <w:shd w:val="clear" w:color="auto" w:fill="FFFFFF"/>
        <w:ind w:firstLine="709"/>
        <w:jc w:val="both"/>
        <w:rPr>
          <w:strike/>
        </w:rPr>
      </w:pPr>
      <w:r>
        <w:rPr>
          <w:sz w:val="28"/>
          <w:szCs w:val="28"/>
        </w:rPr>
        <w:t>На данный момент налажено сотрудничество с ведущими организациями и предприятиями Республики Татарстан по трудоустройству производственных отрядов.</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В 2024 году трудовой сезон в производственном направлении отработали</w:t>
        <w:br/>
        <w:t>5293 человека, 3984 из них – на предприятиях оборонно-промышленного комплекса:</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 </w:t>
      </w:r>
      <w:r>
        <w:rPr>
          <w:rFonts w:eastAsia="Times New Roman"/>
          <w:iCs/>
          <w:sz w:val="28"/>
          <w:szCs w:val="28"/>
        </w:rPr>
        <w:t>ПАО «КАМАЗ» – 1917;</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 </w:t>
      </w:r>
      <w:r>
        <w:rPr>
          <w:rFonts w:eastAsia="Times New Roman"/>
          <w:iCs/>
          <w:sz w:val="28"/>
          <w:szCs w:val="28"/>
        </w:rPr>
        <w:t>Особая экономическая зона промышленно-производственного типа «Алабуга» – 1020;</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 </w:t>
      </w:r>
      <w:r>
        <w:rPr>
          <w:rFonts w:eastAsia="Times New Roman"/>
          <w:iCs/>
          <w:sz w:val="28"/>
          <w:szCs w:val="28"/>
        </w:rPr>
        <w:t>АО «Производственное объединение «Завод имени Серго» – 578;</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 </w:t>
      </w:r>
      <w:r>
        <w:rPr>
          <w:rFonts w:eastAsia="Times New Roman"/>
          <w:iCs/>
          <w:sz w:val="28"/>
          <w:szCs w:val="28"/>
        </w:rPr>
        <w:t>АО «Ремдизель» – 256;</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 </w:t>
      </w:r>
      <w:r>
        <w:rPr>
          <w:rFonts w:eastAsia="Times New Roman"/>
          <w:iCs/>
          <w:sz w:val="28"/>
          <w:szCs w:val="28"/>
        </w:rPr>
        <w:t>ФКП «Казанский завод точного машиностроения» – 98;</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 </w:t>
      </w:r>
      <w:r>
        <w:rPr>
          <w:rFonts w:eastAsia="Times New Roman"/>
          <w:iCs/>
          <w:sz w:val="28"/>
          <w:szCs w:val="28"/>
        </w:rPr>
        <w:t>АО «Казанский вертолетный завод» – 48;</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 </w:t>
      </w:r>
      <w:r>
        <w:rPr>
          <w:rFonts w:eastAsia="Times New Roman"/>
          <w:iCs/>
          <w:sz w:val="28"/>
          <w:szCs w:val="28"/>
        </w:rPr>
        <w:t>ФКП «Казанский государственный казенный пороховой завод» – 43;</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 </w:t>
      </w:r>
      <w:r>
        <w:rPr>
          <w:rFonts w:eastAsia="Times New Roman"/>
          <w:iCs/>
          <w:sz w:val="28"/>
          <w:szCs w:val="28"/>
        </w:rPr>
        <w:t>ОАО «Казанское авиационное производственное объединение имени С.П.Горбунова» – 24.</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В 2024 году на территории Республики Татарстан реализовывались три студенческих трудовых проекта производственного направления. На территории ОЭЗ «Алабуга» второй год подряд прошел Всероссийский трудовой производственный проект «Алабуга–Композит», в 2024 году на проекте работали 1019 студентов из 32 регионов (в том числе, 459 человек из Республики Татарстан). В Набережных Челнах на Всероссийском трудовом проекте «КАМАЗ» трудились 300 студентов из 11 регионов (в том числе 117 человек из Республики Татарстан). Также в г.Набережные Челны на производстве бытовой техники работали </w:t>
        <w:br/>
        <w:t>79 участников межрегионального трудового проекта «Хайер» из 7 регионов (в том числе 48 человек из Республики Татарстан). Помимо производственного направления на ОЭЗ «Алабуга» реализуется Всероссийский проект трудовых отрядов подростков, участниками которого стали 300 школьников из 10 регионов (62 человека из Республики Татарстан).</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В I квартале 2024 года студенты в количестве 15 человек приняли участие </w:t>
        <w:br/>
        <w:t>в зимнем этапе межрегиональной студенческой стройки «Мирный Атом»</w:t>
        <w:br/>
        <w:t xml:space="preserve">на ГУП «Производственное объединение «Маяк». </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Также 28 студентов трудились в период зимнего этапа межрегиональной студенческой стройки «СКИФ» на строительстве объектов АО «КОНЦЕРН </w:t>
        <w:br/>
        <w:t xml:space="preserve">ТИТАН-2». </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В целях повышения медицинской грамотности среди жителей населенных пунктов в Агрызском, Альметьевском, Буинском, Бугульминском, Камско-Устьинском, Лаишевском, Лениногорском, Мензелинском, Сабинском муниципальных районах 107 студентов осуществили выезд социально-патриотической акции «Снежный десант РСО», в рамках которой оказывали адресную помощь в малых населенных пунктах, проводили лекции по профилактике инфекционных и неинфекционных заболеваний, уроки здоровья среди школьников, обучение населения оказанию первой помощи.</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С 29 января по 2 февраля 2024 г. был проведен Кадровый проект студенческих отрядов «СО.зидатели», в рамках которого 50 участников выпускных курсов студенческих трудовых отрядов прошли обучение надпрофессиональным навыкам.</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В рамках торжественных мероприятий, приуроченных ко Дню Российских студенческих отрядов, 15 февраля на базе АО «Производственное Объедение «Завод имени Серго» состоялась Торжественная церемония награждения Республиканского конкурса «Лучший студенческий трудовой отряд года – 2023», участниками которого стали 300 представителей студенческих отрядов и приглашенных гостей.</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В период с 26 февраля – 2 марта была реализована Окружная социально-патриотическая акция «Путинный десант ПФО». В рамках акции студенты проводили встречи со студентами и школьниками в целях повышения их профориентационного уровня, приобщения к здоровому образу жизни, популяризации путинного направления студенческих отрядов.</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В рамках популяризации проектных активностей и освещения возможностей для реализации собственных инициатив молодежи с 15 по 17 марта 2024 г. была реализована проектная смена «Деньги за идею», на которой 50 студентов обучались мастерству написания проектов и стали авторами важных проектов, направленных на развитие движения студенческих отрядов.</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С 28 по 31 марта 2024 г. представители студенческих трудовых отрядов </w:t>
        <w:br/>
        <w:t xml:space="preserve">в количестве 4 человек приняли участие в Медицинском карьерном форуме «Труд крут». В рамках Форума состоялись дискуссионные тематические площадки </w:t>
        <w:br/>
        <w:t>по развитию медицинских отрядов и площадки, позволяющие повысить осведомленность об актуальных карьерных возможностях в отрасли здравоохранения, встречи с работодателями системы здравоохранения, а также всероссийское совещание с руководителями направления студенческих медицинских отрядов региональных штабов Молодежной общероссийской общественной организации «Российские Студенческие Отряды».</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С 12 по 28 апреля 2024 г. организованы выезды студенческих отрядов Республики Татарстан в Школу подготовки руководителей Всероссийских студенческих трудовых проектов в г. Москве; с 26 по 28 апреля 2024 г. – </w:t>
        <w:br/>
        <w:t>во Всероссийскую школу по подготовке руководителей сервисных студенческих отрядов (г. Севастополь); 1 мая 2024 г. – на Всероссийскую трудовую акцию «Труд крут» в г. Москве.</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Также 2-3 мая 2024 г. делегация Штаба студенческих отрядов Республики Татарстан приняла участие во Всероссийской патриотической акции «Поклонимся Великим тем годам» в г.Бресте (Республика Беларусь). В рамках встречи были обсуждены стратегические вопросы по дальнейшему взаимодействию. В июле </w:t>
        <w:br/>
        <w:t>2024 г. участники студенческих отрядов Республики Татарстан трудились на предприятиях Республики Беларусь: ОАО «Минский тракторный завод», ОАО «Минский автомобильный завод», УЗ «Новополоцкая центральная городская больница». В свою очередь участники студенческих педагогических отрядов Республики Беларусь были трудоустроены в детских лагерях ГБУ «Респ</w:t>
      </w:r>
      <w:r>
        <w:rPr>
          <w:rFonts w:eastAsia="Times New Roman" w:cs="Times New Roman"/>
          <w:iCs/>
          <w:color w:val="auto"/>
          <w:kern w:val="0"/>
          <w:sz w:val="28"/>
          <w:szCs w:val="28"/>
          <w:lang w:val="ru-RU" w:eastAsia="ru-RU" w:bidi="ar-SA"/>
        </w:rPr>
        <w:t>убликанский центр «Лето».</w:t>
      </w:r>
    </w:p>
    <w:p>
      <w:pPr>
        <w:pStyle w:val="Normal"/>
        <w:shd w:val="clear" w:color="FFFFFF" w:themeColor="background1" w:fill="FFFFFF" w:themeFill="background1"/>
        <w:ind w:firstLine="709"/>
        <w:jc w:val="both"/>
        <w:rPr>
          <w:rFonts w:ascii="Times New Roman" w:hAnsi="Times New Roman" w:eastAsia="Times New Roman" w:cs="Times New Roman"/>
          <w:iCs/>
          <w:color w:val="auto"/>
          <w:kern w:val="0"/>
          <w:sz w:val="28"/>
          <w:szCs w:val="28"/>
          <w:lang w:val="ru-RU" w:eastAsia="ru-RU" w:bidi="ar-SA"/>
        </w:rPr>
      </w:pPr>
      <w:r>
        <w:rPr>
          <w:rFonts w:eastAsia="Times New Roman" w:cs="Times New Roman"/>
          <w:iCs/>
          <w:color w:val="auto"/>
          <w:kern w:val="0"/>
          <w:sz w:val="28"/>
          <w:szCs w:val="28"/>
          <w:lang w:val="ru-RU" w:eastAsia="ru-RU" w:bidi="ar-SA"/>
        </w:rPr>
        <w:t>В 2024 году прошло 4 республиканских молодежных форума «Работа молодым» в городах  Набережные Челны (15 апреля, 6 июля), Альметьевск (22 мая) и Елабуга (14 июля), также в Казани 19 апреля состоялся Всероссийский форум. В работе форумлов приняло участие более 2,3 тыс человек из 20 регионов России и Республики Беларусь.</w:t>
      </w:r>
    </w:p>
    <w:p>
      <w:pPr>
        <w:pStyle w:val="Normal"/>
        <w:shd w:val="clear" w:color="FFFFFF" w:themeColor="background1" w:fill="FFFFFF" w:themeFill="background1"/>
        <w:ind w:firstLine="709"/>
        <w:jc w:val="both"/>
        <w:rPr>
          <w:rFonts w:ascii="Times New Roman" w:hAnsi="Times New Roman" w:eastAsia="Times New Roman" w:cs="Times New Roman"/>
          <w:iCs/>
          <w:color w:val="auto"/>
          <w:kern w:val="0"/>
          <w:sz w:val="28"/>
          <w:szCs w:val="28"/>
          <w:lang w:val="ru-RU" w:eastAsia="ru-RU" w:bidi="ar-SA"/>
        </w:rPr>
      </w:pPr>
      <w:r>
        <w:rPr>
          <w:rFonts w:eastAsia="Times New Roman" w:cs="Times New Roman"/>
          <w:iCs/>
          <w:color w:val="auto"/>
          <w:kern w:val="0"/>
          <w:sz w:val="28"/>
          <w:szCs w:val="28"/>
          <w:lang w:val="ru-RU" w:eastAsia="ru-RU" w:bidi="ar-SA"/>
        </w:rPr>
        <w:t xml:space="preserve">Форумы направлены на помощь молодежи в выстраивании карьерной траектории и развитие производственного направления Российских студенческих отрядов. Участники прошли карьерные консультации и мастер-классы от работодателей, получили ценные навыки на лекциях от Российского общества «Знание», познакомились с профессиями студенческих отрядов и попробовали себя в различных специальностях на маркете профессий. В рамках Форума в Казани прошло Всероссийское совещание с предприятиями-партнерами по развитию студенческих производственных отрядов с участием ведущих работодателей республики и представителей центра занятости населения города Казани. </w:t>
      </w:r>
    </w:p>
    <w:p>
      <w:pPr>
        <w:pStyle w:val="Normal"/>
        <w:shd w:val="clear" w:color="FFFFFF" w:themeColor="background1" w:fill="FFFFFF" w:themeFill="background1"/>
        <w:ind w:firstLine="709"/>
        <w:jc w:val="both"/>
        <w:rPr>
          <w:rFonts w:ascii="Times New Roman" w:hAnsi="Times New Roman" w:eastAsia="Times New Roman" w:cs="Times New Roman"/>
          <w:iCs/>
          <w:color w:val="auto"/>
          <w:kern w:val="0"/>
          <w:sz w:val="28"/>
          <w:szCs w:val="28"/>
          <w:lang w:val="ru-RU" w:eastAsia="ru-RU" w:bidi="ar-SA"/>
        </w:rPr>
      </w:pPr>
      <w:r>
        <w:rPr>
          <w:rFonts w:eastAsia="Times New Roman" w:cs="Times New Roman"/>
          <w:iCs/>
          <w:color w:val="auto"/>
          <w:kern w:val="0"/>
          <w:sz w:val="28"/>
          <w:szCs w:val="28"/>
          <w:lang w:val="ru-RU" w:eastAsia="ru-RU" w:bidi="ar-SA"/>
        </w:rPr>
        <w:t>Республика Татарстан является опорной площадкой по развитию студенческих производственных отрядов и лидером по реализации профессионального обучения по специальностям, необходимым сегодня на промышленных предприятиях региона, в том числе предприятиях оборонно-промышленного комплекса.</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12 июня 2024 г. в День России на территории Казанского кремля прошло открытие третьего трудового семестра студенческих отрядов Республики Татарстан. Участниками мероприятия стали более 1000 активных представителей студенческой молодежи. Участники движения сдали рапорта о готовности к летнему сезону, получили напутственные слова от ветеранов движения и почетных гостей и путевки для работы на трудовых объектах.</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С 12 по 14 сентября 2024 г. прошел Всероссийский интенсив руководителей региональных отделений Молодежной общероссийской общественной организации «Российские Студенческие Отряды» (далее — МООО «РСО»), участниками которого стало 100 человек. В рамках Интенсива организованы работа по разработке стратегии МООО «РСО», планирование работы на 2025 год, подведение промежуточных итогов трудового семестра 2024 года, мероприятий 65-летия движения студенческих отрядов и 20-летия учреждения МООО «РСО», а также другие вопросы, касающиеся деятельности студенческих отрядов. </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20-22 сентября 2024 г. в г.Альметьевске прошел Всероссийский форум студенческих отрядов нефтедобывающей отрасли. Участниками стали 150 представителей студенческих отрядов и студентов нефтяных специальностей. Форум представлял собой комплекс мероприятий, по развитию студенческих отрядов нефтедобывающей отрасли. В программу были включены как образовательные блоки, направленные на обмен лучшими практиками и механизмами подготовки и трудоустройства специализированных отрядов, так и досуговые мероприятия.</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С 26 по 28 сентября 2024 г. в г.Набережные Челны прошел Всероссийский конкурс профессионального мастерства среди студенческих производственных отрядов. Целью Конкурса – развитие движения студенческих отрядов и определение лучших участников/команд Конкурса по производственному направлению. Конкурс проводится по таким компетенциям как электромонтер, чертежник, оператор электронно-вычислительных машин, сварщик и др.</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С 29 мая 2024 года студенческие отряды Республики Татарстан приступили к работе в детских оздоровительных лагерях структурного подразделения «Татнефть – Забота» ПАО «Татнефть». На первую летнюю смену 2024 года приехали работать 390 студентов, всего за 3 месяца трудовой опыт в лагерях получили 1668 ребят. </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На территории Республики Татарстан функционировали также трудовые проекты: Всероссийский студенческий трудовой производственный проект «КАМАЗ» (300 человек), Всероссийский трудовой проект «Алабуга – композит» </w:t>
        <w:br/>
        <w:t xml:space="preserve">(1000 человек), Всероссийский трудовой проект «Алабуга ТОП» (300 человек), Студенческий трудовой сервисный проект «Работа СО.вкусом» (400 человек), Межрегиональный трудовой проект «Хайэр» (85 человек), строительный проект «Татавтодор» (40 человек). </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Традиционно на базе городских больниц Альметьевска и Лениногорска трудится Всероссийский студенческий медицинский отряд «Призвание» в составе 60 человек из 13 субъектов Российской Федерации, а также Республики Беларусь и Кыргызстана. </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286 участников студенческих отрядов проводников отработали в качестве проводников пассажирского вагона на Республиканском проекте, а с июля 2024 г. –  300 участников студенческих путинных отрядов покоряли Камчатский край на трудовом проекте «Лойд-Фиш». </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С 28 по 29 августа 2024 г. в г.Набережные Челны прошел интенсив для представителей образовательных организаций в рамках реализации Всероссийского студенческого трудового проекта «КАМАЗ – 2024».</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На церемонии закрытия Всероссийского слета студенческих отрядов Региональное отделение Республики Татарстан признано лучшим среди студенческих отрядов Российской Федерации в 2024 году.</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 xml:space="preserve">Также по итогам Национальной премии «Труд Крут» среди работодателей, трудоустраивающих студенческие отряды производственного направления лучшим признано ПАО «КАМАЗ». Победителем номинатив «Лучший работодатель по трудоустройству несовершеннолетней молодёжи» стала ОЭЗ «Алабуга», где этим летом для подростков впервые был реализован трудовой проект «Алабуга ТОП». </w:t>
      </w:r>
    </w:p>
    <w:p>
      <w:pPr>
        <w:pStyle w:val="Normal"/>
        <w:shd w:val="clear" w:color="FFFFFF" w:themeColor="background1" w:fill="FFFFFF" w:themeFill="background1"/>
        <w:ind w:firstLine="709"/>
        <w:jc w:val="both"/>
        <w:rPr>
          <w:rFonts w:eastAsia="Times New Roman"/>
          <w:iCs/>
          <w:sz w:val="28"/>
          <w:szCs w:val="28"/>
        </w:rPr>
      </w:pPr>
      <w:r>
        <w:rPr>
          <w:rFonts w:eastAsia="Times New Roman"/>
          <w:iCs/>
          <w:sz w:val="28"/>
          <w:szCs w:val="28"/>
        </w:rPr>
        <w:t>В рамках Всероссийского конкурса профессионального мастерства в направлении студенческих производственных отрядов победу одержали 6 человек из Республики Татарстан по следующим компетенциям: токарные работы на станках ЧПУ, электромонтер, сварочные технологии, мастер слесарных работ, контролёр станочных и слесарных работ, оператор электронно-вычислительных и вычислительных машин.</w:t>
      </w:r>
    </w:p>
    <w:p>
      <w:pPr>
        <w:pStyle w:val="Normal"/>
        <w:ind w:firstLine="709"/>
        <w:jc w:val="both"/>
        <w:rPr>
          <w:rFonts w:eastAsia="Times New Roman"/>
          <w:b/>
          <w:color w:val="000000"/>
          <w:sz w:val="28"/>
        </w:rPr>
      </w:pPr>
      <w:r>
        <w:rPr>
          <w:rFonts w:eastAsia="Times New Roman"/>
          <w:b/>
          <w:color w:val="000000"/>
          <w:sz w:val="28"/>
        </w:rPr>
      </w:r>
    </w:p>
    <w:p>
      <w:pPr>
        <w:pStyle w:val="Normal"/>
        <w:ind w:firstLine="709"/>
        <w:jc w:val="both"/>
        <w:rPr>
          <w:rFonts w:eastAsia="Times New Roman"/>
          <w:b/>
          <w:color w:val="000000"/>
          <w:sz w:val="28"/>
        </w:rPr>
      </w:pPr>
      <w:r>
        <w:rPr>
          <w:rFonts w:eastAsia="Times New Roman"/>
          <w:b/>
          <w:color w:val="000000"/>
          <w:sz w:val="28"/>
        </w:rPr>
      </w:r>
    </w:p>
    <w:p>
      <w:pPr>
        <w:pStyle w:val="Normal"/>
        <w:ind w:firstLine="709"/>
        <w:jc w:val="both"/>
        <w:rPr>
          <w:rFonts w:eastAsia="Times New Roman"/>
          <w:b/>
          <w:color w:val="000000"/>
          <w:sz w:val="28"/>
        </w:rPr>
      </w:pPr>
      <w:r>
        <w:rPr>
          <w:rFonts w:eastAsia="Times New Roman"/>
          <w:b/>
          <w:color w:val="000000"/>
          <w:sz w:val="28"/>
        </w:rPr>
      </w:r>
    </w:p>
    <w:p>
      <w:pPr>
        <w:pStyle w:val="Normal"/>
        <w:ind w:firstLine="709"/>
        <w:jc w:val="both"/>
        <w:rPr/>
      </w:pPr>
      <w:r>
        <w:rPr>
          <w:rFonts w:eastAsia="Times New Roman"/>
          <w:b/>
          <w:color w:val="000000"/>
          <w:sz w:val="28"/>
        </w:rPr>
        <w:t>2. «Раскрытие талантов работающей молодежи. Охватить проектами, направленными на развитие профессиональных компетенций, творческую и спортивную самореализацию, не менее 7 процентов от числа работающей молодежи Республики Татарстан».</w:t>
      </w:r>
    </w:p>
    <w:p>
      <w:pPr>
        <w:pStyle w:val="Normal"/>
        <w:ind w:firstLine="709"/>
        <w:jc w:val="both"/>
        <w:rPr>
          <w:color w:val="000000"/>
        </w:rPr>
      </w:pPr>
      <w:r>
        <w:rPr>
          <w:color w:val="000000"/>
        </w:rPr>
      </w:r>
    </w:p>
    <w:p>
      <w:pPr>
        <w:pStyle w:val="Normal"/>
        <w:ind w:firstLine="709"/>
        <w:jc w:val="both"/>
        <w:rPr/>
      </w:pPr>
      <w:r>
        <w:rPr>
          <w:b/>
          <w:bCs/>
          <w:i/>
          <w:iCs/>
          <w:color w:val="000000"/>
          <w:sz w:val="28"/>
          <w:szCs w:val="28"/>
        </w:rPr>
        <w:t>По итогам 2024 г. проектами охвачено 8 224 человек, 16 744 человек</w:t>
      </w:r>
      <w:r>
        <w:rPr>
          <w:b/>
          <w:bCs/>
          <w:i/>
          <w:iCs/>
          <w:sz w:val="28"/>
          <w:szCs w:val="28"/>
        </w:rPr>
        <w:t xml:space="preserve"> работавшей молодежи в онлайн формате, а также более 20 тыс. чел. зрителей творческих выступлений, участников фестивалей и мероприятий. </w:t>
      </w:r>
    </w:p>
    <w:p>
      <w:pPr>
        <w:pStyle w:val="Normal"/>
        <w:shd w:val="clear" w:color="auto" w:fill="FFFFFF"/>
        <w:ind w:firstLine="709"/>
        <w:jc w:val="both"/>
        <w:rPr/>
      </w:pPr>
      <w:r>
        <w:rPr/>
      </w:r>
    </w:p>
    <w:p>
      <w:pPr>
        <w:pStyle w:val="Normal"/>
        <w:ind w:firstLine="709"/>
        <w:jc w:val="both"/>
        <w:rPr/>
      </w:pPr>
      <w:r>
        <w:rPr>
          <w:sz w:val="28"/>
          <w:szCs w:val="28"/>
        </w:rPr>
        <w:t>Категория работающей молодежи является не столько частью (самой значительной) в целом молодежной политики, сколько молодежной политики отдельно взятого предприятия. Расширение диапазона молодежной политики на предприятиях через их включенность в региональные программы и проекты дает дополнительные импульсы к мотивации молодых работников, их профессиональному росту внутри компании, они привносят новые идеи, создают решения, которые могут улучшить рабочие процессы благодаря своей энергичности и активной жизненной позиции.</w:t>
      </w:r>
    </w:p>
    <w:p>
      <w:pPr>
        <w:pStyle w:val="Normal"/>
        <w:shd w:val="clear" w:color="auto" w:fill="FFFFFF"/>
        <w:ind w:firstLine="709"/>
        <w:jc w:val="both"/>
        <w:rPr/>
      </w:pPr>
      <w:r>
        <w:rPr>
          <w:sz w:val="28"/>
          <w:szCs w:val="28"/>
        </w:rPr>
        <w:t>Одним из приоритетных направлений в реализации проектов для работающей молодежи, направленных на развитие профессиональных компетенций, творческую и спортивную самореализацию молодежи, занятой в организациях и предприятиях Республики Татарстан, выступает фестивальное движение «Наше время – Безнең заман».</w:t>
      </w:r>
    </w:p>
    <w:p>
      <w:pPr>
        <w:pStyle w:val="Normal"/>
        <w:shd w:val="clear" w:color="auto" w:fill="FFFFFF"/>
        <w:ind w:firstLine="709"/>
        <w:jc w:val="both"/>
        <w:rPr/>
      </w:pPr>
      <w:r>
        <w:rPr>
          <w:sz w:val="28"/>
          <w:szCs w:val="28"/>
        </w:rPr>
        <w:t>В 2024 году состоялся XII ежегодный открытый республиканский телевизионный фестиваль творчества работающей молодёжи Республики Татарстан «Наше время – Безнең заман». Зональные этапы фестиваля проходили в четырех городах Татарстана:</w:t>
      </w:r>
    </w:p>
    <w:p>
      <w:pPr>
        <w:pStyle w:val="ListParagraph"/>
        <w:numPr>
          <w:ilvl w:val="0"/>
          <w:numId w:val="1"/>
        </w:numPr>
        <w:shd w:val="clear" w:color="auto" w:fill="FFFFFF"/>
        <w:tabs>
          <w:tab w:val="clear" w:pos="708"/>
          <w:tab w:val="left" w:pos="993" w:leader="none"/>
        </w:tabs>
        <w:ind w:hanging="425" w:left="1134"/>
        <w:jc w:val="both"/>
        <w:rPr/>
      </w:pPr>
      <w:r>
        <w:rPr>
          <w:sz w:val="28"/>
          <w:szCs w:val="28"/>
        </w:rPr>
        <w:t>Альметьевск (4–5 октября);</w:t>
      </w:r>
    </w:p>
    <w:p>
      <w:pPr>
        <w:pStyle w:val="ListParagraph"/>
        <w:numPr>
          <w:ilvl w:val="0"/>
          <w:numId w:val="1"/>
        </w:numPr>
        <w:shd w:val="clear" w:color="auto" w:fill="FFFFFF"/>
        <w:tabs>
          <w:tab w:val="clear" w:pos="708"/>
          <w:tab w:val="left" w:pos="993" w:leader="none"/>
        </w:tabs>
        <w:ind w:hanging="425" w:left="1134"/>
        <w:jc w:val="both"/>
        <w:rPr/>
      </w:pPr>
      <w:r>
        <w:rPr>
          <w:sz w:val="28"/>
          <w:szCs w:val="28"/>
        </w:rPr>
        <w:t xml:space="preserve">Набережные Челны (11–12 октября); </w:t>
      </w:r>
    </w:p>
    <w:p>
      <w:pPr>
        <w:pStyle w:val="ListParagraph"/>
        <w:numPr>
          <w:ilvl w:val="0"/>
          <w:numId w:val="1"/>
        </w:numPr>
        <w:shd w:val="clear" w:color="auto" w:fill="FFFFFF"/>
        <w:tabs>
          <w:tab w:val="clear" w:pos="708"/>
          <w:tab w:val="left" w:pos="993" w:leader="none"/>
        </w:tabs>
        <w:ind w:hanging="425" w:left="1134"/>
        <w:jc w:val="both"/>
        <w:rPr/>
      </w:pPr>
      <w:r>
        <w:rPr>
          <w:sz w:val="28"/>
          <w:szCs w:val="28"/>
        </w:rPr>
        <w:t xml:space="preserve">Зеленодольск (18–19 октября). </w:t>
      </w:r>
    </w:p>
    <w:p>
      <w:pPr>
        <w:pStyle w:val="Normal"/>
        <w:shd w:val="clear" w:color="auto" w:fill="FFFFFF"/>
        <w:ind w:firstLine="709"/>
        <w:jc w:val="both"/>
        <w:rPr/>
      </w:pPr>
      <w:r>
        <w:rPr>
          <w:sz w:val="28"/>
          <w:szCs w:val="28"/>
        </w:rPr>
        <w:t>Финал фестиваля состоялся 7–10 ноября в г.Казани в Поволжском государственном университете физической культуры, спорта и туризма, по итогам финала фестиваля 10 ноября 2024 года состоялся гала-концерт победителей и лауреатов в КРК «Пирамида».</w:t>
      </w:r>
    </w:p>
    <w:p>
      <w:pPr>
        <w:pStyle w:val="Normal"/>
        <w:shd w:val="clear" w:color="auto" w:fill="FFFFFF"/>
        <w:ind w:firstLine="709"/>
        <w:jc w:val="both"/>
        <w:rPr/>
      </w:pPr>
      <w:r>
        <w:rPr>
          <w:sz w:val="28"/>
          <w:szCs w:val="28"/>
        </w:rPr>
        <w:t xml:space="preserve">Гран-при получила команда ГБУ «Безопасность дорожного движения». Победители получили переходящий кубок Раиса Республики Татарстан, диплом и подарочный сертификат на сумму 500 тысяч рублей. Кубок «Достояние нашего времени» и денежный приз в размере 200 тысяч рублей получил Казанский авиационный завод. </w:t>
      </w:r>
    </w:p>
    <w:p>
      <w:pPr>
        <w:pStyle w:val="Normal"/>
        <w:shd w:val="clear" w:color="auto" w:fill="FFFFFF"/>
        <w:ind w:firstLine="709"/>
        <w:jc w:val="both"/>
        <w:rPr/>
      </w:pPr>
      <w:r>
        <w:rPr>
          <w:sz w:val="28"/>
          <w:szCs w:val="28"/>
        </w:rPr>
        <w:t>Сборная «КАМАЗа» заняла следующие призовые места:</w:t>
      </w:r>
    </w:p>
    <w:p>
      <w:pPr>
        <w:pStyle w:val="Normal"/>
        <w:shd w:val="clear" w:color="auto" w:fill="FFFFFF"/>
        <w:ind w:firstLine="709"/>
        <w:jc w:val="both"/>
        <w:rPr/>
      </w:pPr>
      <w:r>
        <w:rPr>
          <w:sz w:val="28"/>
          <w:szCs w:val="28"/>
        </w:rPr>
        <w:t xml:space="preserve">1 место – в номинациях «Минута славы», «Визитка-презентация», «Вокал. Ансамбль», «Вокал. Малые формы»; </w:t>
      </w:r>
    </w:p>
    <w:p>
      <w:pPr>
        <w:pStyle w:val="Normal"/>
        <w:shd w:val="clear" w:color="auto" w:fill="FFFFFF"/>
        <w:ind w:firstLine="709"/>
        <w:jc w:val="both"/>
        <w:rPr/>
      </w:pPr>
      <w:r>
        <w:rPr>
          <w:sz w:val="28"/>
          <w:szCs w:val="28"/>
        </w:rPr>
        <w:t xml:space="preserve">2 место – в номинациях «Хореография. Ансамбли» и «Хореография. Малые формы». Вместе с МКУ «Отдел образования» Исполкома Мамадышского района, ПАО «Нижнекамскнефтехим» и первичной профсоюзной организацией АО «Аммоний» команда ПАО «КАМАЗ» стала победителем в общекомандном зачёте. </w:t>
      </w:r>
    </w:p>
    <w:p>
      <w:pPr>
        <w:pStyle w:val="Normal"/>
        <w:shd w:val="clear" w:color="auto" w:fill="FFFFFF"/>
        <w:ind w:firstLine="709"/>
        <w:jc w:val="both"/>
        <w:rPr/>
      </w:pPr>
      <w:r>
        <w:rPr>
          <w:sz w:val="28"/>
          <w:szCs w:val="28"/>
        </w:rPr>
        <w:t>Команда ПАО «Татнефть» стала обладателем кубка «Герои нашего времени» и денежного приза в размере 300 тысяч рублей.</w:t>
      </w:r>
      <w:r>
        <w:rPr/>
        <w:t xml:space="preserve"> </w:t>
      </w:r>
    </w:p>
    <w:p>
      <w:pPr>
        <w:pStyle w:val="Normal"/>
        <w:shd w:val="clear" w:color="auto" w:fill="FFFFFF"/>
        <w:ind w:firstLine="709"/>
        <w:jc w:val="both"/>
        <w:rPr/>
      </w:pPr>
      <w:r>
        <w:rPr>
          <w:sz w:val="28"/>
          <w:szCs w:val="28"/>
        </w:rPr>
        <w:t xml:space="preserve">В 2024 году участниками фестиваля «Наше время — Безнең заман» стали </w:t>
        <w:br/>
        <w:t xml:space="preserve">1 160 представителей 138 организаций производственной и социальной сферы </w:t>
        <w:br/>
        <w:t>из 33 муниципалитетов Республики Татарстан, в качестве зрителей зональных отборочных этапов, финала и гала-концерта фестиваля выступили более 10 тысяч человек представителей работающей молодежи Татарстана.</w:t>
      </w:r>
    </w:p>
    <w:p>
      <w:pPr>
        <w:pStyle w:val="Normal"/>
        <w:shd w:val="clear" w:color="auto" w:fill="FFFFFF"/>
        <w:ind w:firstLine="709"/>
        <w:jc w:val="both"/>
        <w:rPr/>
      </w:pPr>
      <w:r>
        <w:rPr>
          <w:sz w:val="28"/>
          <w:szCs w:val="28"/>
        </w:rPr>
        <w:t>Важным итоговым событием в реализации проектов для работающей молодежи Татарстана выступил прошедший 24</w:t>
      </w:r>
      <w:r>
        <w:rPr/>
        <w:t> </w:t>
      </w:r>
      <w:r>
        <w:rPr>
          <w:sz w:val="28"/>
          <w:szCs w:val="28"/>
        </w:rPr>
        <w:t xml:space="preserve">- 26 ноября 2024 года Республиканский форум работающей молодёжи Республики Татарстан. </w:t>
      </w:r>
    </w:p>
    <w:p>
      <w:pPr>
        <w:pStyle w:val="Normal"/>
        <w:shd w:val="clear" w:color="auto" w:fill="FFFFFF"/>
        <w:ind w:firstLine="709"/>
        <w:jc w:val="both"/>
        <w:rPr/>
      </w:pPr>
      <w:r>
        <w:rPr>
          <w:sz w:val="28"/>
          <w:szCs w:val="28"/>
        </w:rPr>
        <w:t xml:space="preserve">В форуме работающей молодёжи Республики Татарстан приняли участие </w:t>
        <w:br/>
        <w:t>200 представителей 87 предприятий и организаций из 20 районов и городов Татарстана.</w:t>
      </w:r>
    </w:p>
    <w:p>
      <w:pPr>
        <w:pStyle w:val="Normal"/>
        <w:shd w:val="clear" w:color="auto" w:fill="FFFFFF"/>
        <w:ind w:firstLine="709"/>
        <w:jc w:val="both"/>
        <w:rPr/>
      </w:pPr>
      <w:r>
        <w:rPr>
          <w:sz w:val="28"/>
          <w:szCs w:val="28"/>
        </w:rPr>
        <w:t xml:space="preserve">В рамках мероприятия были организованы круглые столы и стратегические сессии. На них спикеры, гости форума рассказывали о предстоящих проектах, запланированных на 2025 год. Поднимались такие темы, как приоритетные мероприятия и задачи Года защитника Отечества и 80-летия Победы в Великой Отечественной войне, мероприятия, направленные на формирование условий для включения в активное участие в молодежные мероприятия молодых семей, а также новый приоритетный общественный проект для работающей молодёжи ПФО и другие. </w:t>
      </w:r>
    </w:p>
    <w:p>
      <w:pPr>
        <w:pStyle w:val="Normal"/>
        <w:shd w:val="clear" w:color="auto" w:fill="FFFFFF"/>
        <w:ind w:firstLine="709"/>
        <w:jc w:val="both"/>
        <w:rPr/>
      </w:pPr>
      <w:r>
        <w:rPr>
          <w:sz w:val="28"/>
          <w:szCs w:val="28"/>
        </w:rPr>
        <w:t>В группах с кураторами были проработаны предложения на актуальные темы 2025 года, которые обсуждались на круглых столах, на уровне предприятий городов республики.</w:t>
      </w:r>
    </w:p>
    <w:p>
      <w:pPr>
        <w:pStyle w:val="Normal"/>
        <w:shd w:val="clear" w:color="auto" w:fill="FFFFFF"/>
        <w:ind w:firstLine="709"/>
        <w:jc w:val="both"/>
        <w:rPr/>
      </w:pPr>
      <w:r>
        <w:rPr>
          <w:sz w:val="28"/>
          <w:szCs w:val="28"/>
        </w:rPr>
        <w:t>В рамках форума состоялось подведение итогов конкурса «Молодой рационализатор и изобретатель Республики Татарстан» за 2024 года.</w:t>
      </w:r>
    </w:p>
    <w:p>
      <w:pPr>
        <w:pStyle w:val="Normal"/>
        <w:shd w:val="clear" w:color="auto" w:fill="FFFFFF"/>
        <w:ind w:firstLine="709"/>
        <w:jc w:val="both"/>
        <w:rPr/>
      </w:pPr>
      <w:r>
        <w:rPr>
          <w:sz w:val="28"/>
          <w:szCs w:val="28"/>
        </w:rPr>
        <w:t>Заявки на конкурс в 55 номинациях поступили от 24 предприятий. 20 человек участвовали в направлении изобретательства с 52 объектами интеллектуальной собственности и почти 90 человек – в рационализации с 464 рационализаторскими предложениями.</w:t>
      </w:r>
    </w:p>
    <w:p>
      <w:pPr>
        <w:pStyle w:val="Normal"/>
        <w:shd w:val="clear" w:color="auto" w:fill="FFFFFF"/>
        <w:ind w:firstLine="709"/>
        <w:jc w:val="both"/>
        <w:rPr/>
      </w:pPr>
      <w:r>
        <w:rPr>
          <w:sz w:val="28"/>
          <w:szCs w:val="28"/>
        </w:rPr>
        <w:t xml:space="preserve">Суммарный экономический эффект от внедрения рационализаторских предложений составил свыше 2,7 млрд рублей.  </w:t>
      </w:r>
    </w:p>
    <w:p>
      <w:pPr>
        <w:pStyle w:val="Normal"/>
        <w:shd w:val="clear" w:color="auto" w:fill="FFFFFF"/>
        <w:ind w:firstLine="709"/>
        <w:jc w:val="both"/>
        <w:rPr/>
      </w:pPr>
      <w:r>
        <w:rPr>
          <w:sz w:val="28"/>
          <w:szCs w:val="28"/>
        </w:rPr>
        <w:t>С 3 по 10 декабря 2024 года в городах Республики Татарстан проведены шесть семинаров по социальному проектированию для работающей молодёжи в Татарстане. Участниками семинаров стали более 300 активистов молодежи предприятий и организаций.</w:t>
      </w:r>
    </w:p>
    <w:p>
      <w:pPr>
        <w:pStyle w:val="Normal"/>
        <w:shd w:val="clear" w:color="auto" w:fill="FFFFFF"/>
        <w:ind w:firstLine="709"/>
        <w:jc w:val="both"/>
        <w:rPr/>
      </w:pPr>
      <w:r>
        <w:rPr>
          <w:sz w:val="28"/>
          <w:szCs w:val="28"/>
        </w:rPr>
        <w:t>3 декабря в молодежном центре «Нур» г. Набережные Челны прошел семинар по социальному проектированию. Участники узнали, что такое социальный проект и грант Росмолодёжи, что такое проблематика, и к</w:t>
      </w:r>
      <w:r>
        <w:rPr>
          <w:color w:val="000000"/>
          <w:sz w:val="28"/>
          <w:szCs w:val="28"/>
        </w:rPr>
        <w:t>ак её раскрыть в своём проекте, разобрали шаблон заявки д</w:t>
      </w:r>
      <w:r>
        <w:rPr>
          <w:rFonts w:eastAsia="Calibri" w:cs="Times New Roman" w:eastAsiaTheme="minorHAnsi"/>
          <w:color w:val="auto"/>
          <w:kern w:val="0"/>
          <w:sz w:val="28"/>
          <w:szCs w:val="28"/>
          <w:lang w:val="ru-RU" w:eastAsia="ru-RU" w:bidi="ar-SA"/>
        </w:rPr>
        <w:t>ля участия в грантовых конкурсах Росмолодежи.</w:t>
      </w:r>
    </w:p>
    <w:p>
      <w:pPr>
        <w:pStyle w:val="Normal"/>
        <w:ind w:firstLine="709"/>
        <w:jc w:val="both"/>
        <w:rPr/>
      </w:pPr>
      <w:r>
        <w:rPr>
          <w:color w:val="000000"/>
          <w:sz w:val="28"/>
          <w:szCs w:val="28"/>
        </w:rPr>
        <w:t>В декабре 2024 г. с</w:t>
      </w:r>
      <w:r>
        <w:rPr>
          <w:rStyle w:val="Strong"/>
          <w:b w:val="false"/>
          <w:bCs w:val="false"/>
          <w:color w:val="000000"/>
          <w:sz w:val="28"/>
          <w:szCs w:val="28"/>
        </w:rPr>
        <w:t>остоялась церемония награждения победителей конкурса на лучшую организацию работы с молодежью на предприятиях и организациях Татарстана – «Потенциал Республики 2024» и победителей республиканского​​ конкурса профессионального мастерства среди молодых специалистов предприятий и организаций на звание «Лучший по профессии»​. Конкурс «Потенциал Республики» проводится с целью реализации государственной молодежной политики в организациях, пропаганды активной работы с молодежью на предприятиях и в организациях республики, а также распространения лучших практик работы с молодежью.</w:t>
      </w:r>
    </w:p>
    <w:p>
      <w:pPr>
        <w:pStyle w:val="Normal"/>
        <w:ind w:firstLine="709"/>
        <w:jc w:val="both"/>
        <w:rPr/>
      </w:pPr>
      <w:r>
        <w:rPr>
          <w:color w:val="000000"/>
          <w:sz w:val="28"/>
          <w:szCs w:val="28"/>
        </w:rPr>
        <w:t xml:space="preserve">В конкурсе приняли участие более 30 крупных организаций Татарстана. </w:t>
        <w:br/>
        <w:t>В зависимости от численности предприятий были определены победители в четырёх группах. Филиал АО «</w:t>
      </w:r>
      <w:r>
        <w:rPr>
          <w:rStyle w:val="Strong"/>
          <w:b w:val="false"/>
          <w:bCs w:val="false"/>
          <w:color w:val="000000"/>
          <w:sz w:val="28"/>
          <w:szCs w:val="28"/>
        </w:rPr>
        <w:t>Татэнерго</w:t>
      </w:r>
      <w:r>
        <w:rPr>
          <w:color w:val="000000"/>
          <w:sz w:val="28"/>
          <w:szCs w:val="28"/>
        </w:rPr>
        <w:t xml:space="preserve">» «Казанская ТЭЦ-1» занял 1 место по Республике Татарстан. </w:t>
      </w:r>
    </w:p>
    <w:p>
      <w:pPr>
        <w:pStyle w:val="Normal"/>
        <w:ind w:firstLine="709"/>
        <w:jc w:val="both"/>
        <w:rPr/>
      </w:pPr>
      <w:r>
        <w:rPr>
          <w:color w:val="000000"/>
          <w:sz w:val="28"/>
          <w:szCs w:val="28"/>
        </w:rPr>
        <w:t xml:space="preserve">С 24 по 26 ноября на базе Молодежного центра «Волга» в </w:t>
      </w:r>
      <w:r>
        <w:rPr>
          <w:rStyle w:val="Strong"/>
          <w:b w:val="false"/>
          <w:bCs w:val="false"/>
          <w:color w:val="000000"/>
          <w:sz w:val="28"/>
          <w:szCs w:val="28"/>
        </w:rPr>
        <w:t>Казани собрались представители молодежных движений со всей Республики Татарстан. В рамках встречи прошел ряд мероприятий, направленных на развитие и поддержку инициатив молодых людей региона.</w:t>
      </w:r>
    </w:p>
    <w:p>
      <w:pPr>
        <w:pStyle w:val="Normal"/>
        <w:ind w:firstLine="709"/>
        <w:jc w:val="both"/>
        <w:rPr/>
      </w:pPr>
      <w:r>
        <w:rPr>
          <w:rStyle w:val="Strong"/>
          <w:b w:val="false"/>
          <w:bCs w:val="false"/>
          <w:color w:val="000000"/>
          <w:sz w:val="28"/>
          <w:szCs w:val="28"/>
        </w:rPr>
        <w:t xml:space="preserve">Одним из ключевых событий стало торжественное открытие, где наградили победителей республиканских конкурсов. На этом мероприятии отметили лучших участников двух значимых состязаний: «Лучший репортер работающей молодежи Татарстана» и «Эшләүче каләм». Эти конкурсы призваны привлечь внимание СМИ и широкой общественности к вопросам развития движения работающей молодежи </w:t>
        <w:br/>
        <w:t>в регионе.</w:t>
      </w:r>
    </w:p>
    <w:p>
      <w:pPr>
        <w:pStyle w:val="Normal"/>
        <w:ind w:firstLine="709"/>
        <w:jc w:val="both"/>
        <w:rPr/>
      </w:pPr>
      <w:r>
        <w:rPr>
          <w:rStyle w:val="Strong"/>
          <w:b w:val="false"/>
          <w:bCs w:val="false"/>
          <w:color w:val="000000"/>
          <w:sz w:val="28"/>
          <w:szCs w:val="28"/>
        </w:rPr>
        <w:t>Конкурсная программа была поделена на две категории: одна для профессионалов медиа-сферы, а другая – для представителей работающей молодежи, активно освещающих жизнь своих коллективов.</w:t>
      </w:r>
    </w:p>
    <w:p>
      <w:pPr>
        <w:pStyle w:val="Normal"/>
        <w:ind w:firstLine="709"/>
        <w:jc w:val="both"/>
        <w:rPr>
          <w:sz w:val="28"/>
          <w:szCs w:val="28"/>
        </w:rPr>
      </w:pPr>
      <w:r>
        <w:rPr>
          <w:color w:val="000000"/>
          <w:sz w:val="28"/>
          <w:szCs w:val="28"/>
        </w:rPr>
        <w:t>В рамках Года семьи Региональная общественная организация «Союз молодёжи предприятий и организаций Республики Татарстан» приняла решение о проведении Семейной профильной смены для активистов предприятий.</w:t>
      </w:r>
    </w:p>
    <w:p>
      <w:pPr>
        <w:pStyle w:val="Normal"/>
        <w:shd w:val="clear" w:color="auto" w:fill="FFFFFF"/>
        <w:ind w:firstLine="709"/>
        <w:jc w:val="both"/>
        <w:rPr>
          <w:sz w:val="28"/>
          <w:szCs w:val="28"/>
        </w:rPr>
      </w:pPr>
      <w:r>
        <w:rPr>
          <w:color w:val="000000"/>
          <w:sz w:val="28"/>
          <w:szCs w:val="28"/>
        </w:rPr>
        <w:t>Мероприятие состоялось с 23 августа по 6 сентября 2024 года в посёлке Витязево Краснодарского края. В нем приняли участие молодые семьи с детьми. Общее количество участников составит 91 человек.</w:t>
      </w:r>
    </w:p>
    <w:p>
      <w:pPr>
        <w:pStyle w:val="Normal"/>
        <w:ind w:firstLine="709"/>
        <w:jc w:val="both"/>
        <w:rPr>
          <w:sz w:val="28"/>
          <w:szCs w:val="28"/>
        </w:rPr>
      </w:pPr>
      <w:r>
        <w:rPr>
          <w:color w:val="000000"/>
          <w:sz w:val="28"/>
          <w:szCs w:val="28"/>
        </w:rPr>
        <w:t>РОО «Союз молодежи предприятий и организаций РТ» была проведена ежегодная профильная смена для актива работающей молодежи Республики Татарстан.</w:t>
      </w:r>
    </w:p>
    <w:p>
      <w:pPr>
        <w:pStyle w:val="Normal"/>
        <w:shd w:val="clear" w:color="auto" w:fill="FFFFFF"/>
        <w:ind w:firstLine="709"/>
        <w:jc w:val="both"/>
        <w:rPr>
          <w:sz w:val="28"/>
          <w:szCs w:val="28"/>
        </w:rPr>
      </w:pPr>
      <w:r>
        <w:rPr>
          <w:color w:val="000000"/>
          <w:sz w:val="28"/>
          <w:szCs w:val="28"/>
        </w:rPr>
        <w:t xml:space="preserve">С 21 августа по 4 сентября 2024 года в г.Витязево, расположенном в Краснодарском крае, прошло мероприятие, направленное на объединение работающей молодёжи предприятий и организаций Республики Татарстан. </w:t>
        <w:br/>
        <w:t>В мероприятии приняли участие 74 человека из Казани, Набережных Челнов и Нижнекамска.</w:t>
      </w:r>
    </w:p>
    <w:p>
      <w:pPr>
        <w:pStyle w:val="Normal"/>
        <w:ind w:firstLine="709"/>
        <w:jc w:val="both"/>
        <w:rPr>
          <w:sz w:val="28"/>
          <w:szCs w:val="28"/>
        </w:rPr>
      </w:pPr>
      <w:r>
        <w:rPr>
          <w:color w:val="000000"/>
          <w:sz w:val="28"/>
          <w:szCs w:val="28"/>
        </w:rPr>
        <w:t>Цель мероприятия – создать условия для знакомства и обмена опытом между работающей молодежью, а также организовать культурно-развлекательные и спортивные мероприятия для совместного времяпрепровождения.</w:t>
      </w:r>
    </w:p>
    <w:p>
      <w:pPr>
        <w:pStyle w:val="Normal"/>
        <w:ind w:firstLine="709"/>
        <w:jc w:val="both"/>
        <w:rPr>
          <w:sz w:val="28"/>
          <w:szCs w:val="28"/>
        </w:rPr>
      </w:pPr>
      <w:r>
        <w:rPr>
          <w:sz w:val="28"/>
          <w:szCs w:val="28"/>
        </w:rPr>
      </w:r>
    </w:p>
    <w:p>
      <w:pPr>
        <w:pStyle w:val="Normal"/>
        <w:ind w:firstLine="709"/>
        <w:jc w:val="both"/>
        <w:rPr>
          <w:shd w:fill="FFFF00" w:val="clear"/>
        </w:rPr>
      </w:pPr>
      <w:r>
        <w:rPr>
          <w:rFonts w:eastAsia="Times New Roman"/>
          <w:b/>
          <w:color w:val="000000"/>
          <w:sz w:val="28"/>
        </w:rPr>
        <w:t>3. «Развитие инфраструктуры летнего отдыха и оздоровления детей. Охватить сменами различной направленности не менее 205 тыс. детей и молодежи от 7 до 18 лет».</w:t>
      </w:r>
    </w:p>
    <w:p>
      <w:pPr>
        <w:pStyle w:val="Normal"/>
        <w:ind w:firstLine="709"/>
        <w:jc w:val="both"/>
        <w:rPr>
          <w:rFonts w:eastAsia="Times New Roman"/>
          <w:b/>
          <w:i/>
          <w:i/>
          <w:iCs/>
          <w:color w:val="000000"/>
          <w:sz w:val="28"/>
        </w:rPr>
      </w:pPr>
      <w:r>
        <w:rPr>
          <w:rFonts w:eastAsia="Times New Roman"/>
          <w:b/>
          <w:i/>
          <w:iCs/>
          <w:color w:val="000000"/>
          <w:sz w:val="28"/>
        </w:rPr>
      </w:r>
    </w:p>
    <w:p>
      <w:pPr>
        <w:pStyle w:val="Normal"/>
        <w:ind w:firstLine="709"/>
        <w:jc w:val="both"/>
        <w:rPr>
          <w:rFonts w:eastAsia="Times New Roman"/>
          <w:b/>
          <w:color w:val="000000"/>
          <w:sz w:val="28"/>
        </w:rPr>
      </w:pPr>
      <w:r>
        <w:rPr>
          <w:rFonts w:eastAsia="Times New Roman"/>
          <w:b/>
          <w:i/>
          <w:iCs/>
          <w:color w:val="000000"/>
          <w:sz w:val="28"/>
        </w:rPr>
        <w:t>Охват сменами различной направленности в 2024 году составил 214 118 детей и молодежи от 7 до 18 лет.</w:t>
      </w:r>
    </w:p>
    <w:p>
      <w:pPr>
        <w:pStyle w:val="Normal"/>
        <w:ind w:firstLine="709"/>
        <w:jc w:val="both"/>
        <w:rPr>
          <w:rFonts w:eastAsia="Times New Roman"/>
          <w:b/>
          <w:color w:val="000000"/>
          <w:sz w:val="28"/>
        </w:rPr>
      </w:pPr>
      <w:r>
        <w:rPr>
          <w:rFonts w:eastAsia="Times New Roman"/>
          <w:b/>
          <w:color w:val="000000"/>
          <w:sz w:val="28"/>
        </w:rPr>
      </w:r>
    </w:p>
    <w:p>
      <w:pPr>
        <w:pStyle w:val="Normal"/>
        <w:ind w:firstLine="709"/>
        <w:jc w:val="both"/>
        <w:rPr>
          <w:b/>
          <w:bCs/>
        </w:rPr>
      </w:pPr>
      <w:r>
        <w:rPr>
          <w:sz w:val="28"/>
          <w:szCs w:val="28"/>
        </w:rPr>
        <w:t>С</w:t>
      </w:r>
      <w:r>
        <w:rPr>
          <w:rFonts w:eastAsia="Times New Roman"/>
          <w:color w:val="000000"/>
          <w:sz w:val="28"/>
        </w:rPr>
        <w:t>истема организации отдыха и оздоровления детей является одним из инструментов социальной поддержки населения в республике, позволяя обеспечить организованным безопасным отдыхом ежегодно более 200 тыс. детей и молодежи.</w:t>
      </w:r>
    </w:p>
    <w:p>
      <w:pPr>
        <w:pStyle w:val="Normal"/>
        <w:ind w:firstLine="709"/>
        <w:jc w:val="both"/>
        <w:rPr/>
      </w:pPr>
      <w:r>
        <w:rPr>
          <w:rFonts w:eastAsia="Times New Roman"/>
          <w:color w:val="000000"/>
          <w:sz w:val="28"/>
        </w:rPr>
        <w:t>Финансирование подпрограммы «Организация отдыха детей и молодежи» государственной программы Республики Татарстан «Развитие молодежной политики в Республике Татарстан» составляет 2,3 млрд рублей.</w:t>
      </w:r>
    </w:p>
    <w:p>
      <w:pPr>
        <w:pStyle w:val="Normal"/>
        <w:ind w:firstLine="709"/>
        <w:jc w:val="both"/>
        <w:rPr/>
      </w:pPr>
      <w:r>
        <w:rPr>
          <w:rFonts w:eastAsia="Times New Roman"/>
          <w:color w:val="000000"/>
          <w:sz w:val="28"/>
        </w:rPr>
        <w:t>В оздоровительную кампанию 2024 года различным формами отдыха и оздоровления в 1 620 организациях охвачено 214 118 человек.</w:t>
      </w:r>
    </w:p>
    <w:p>
      <w:pPr>
        <w:pStyle w:val="Normal"/>
        <w:ind w:firstLine="709"/>
        <w:jc w:val="both"/>
        <w:rPr/>
      </w:pPr>
      <w:r>
        <w:rPr>
          <w:rFonts w:eastAsia="Times New Roman"/>
          <w:color w:val="000000"/>
          <w:sz w:val="28"/>
        </w:rPr>
        <w:t xml:space="preserve">Важной составляющей социального аспекта программы отдыха и оздоровления является организация отдыха на безвозмездной основе. В 2024 году по бесплатным путевкам отдохнуло 38 588 детей. </w:t>
      </w:r>
    </w:p>
    <w:p>
      <w:pPr>
        <w:pStyle w:val="Normal"/>
        <w:ind w:firstLine="709"/>
        <w:jc w:val="both"/>
        <w:rPr/>
      </w:pPr>
      <w:r>
        <w:rPr>
          <w:rFonts w:eastAsia="Times New Roman"/>
          <w:color w:val="000000"/>
          <w:sz w:val="28"/>
        </w:rPr>
        <w:t xml:space="preserve">В лагерях Республики Крым и Краснодарского края побывали 6689 детей, </w:t>
        <w:br/>
        <w:t xml:space="preserve">в том числе: </w:t>
      </w:r>
    </w:p>
    <w:p>
      <w:pPr>
        <w:pStyle w:val="Normal"/>
        <w:ind w:firstLine="709"/>
        <w:jc w:val="both"/>
        <w:rPr/>
      </w:pPr>
      <w:r>
        <w:rPr>
          <w:rFonts w:eastAsia="Times New Roman"/>
          <w:color w:val="000000"/>
          <w:sz w:val="28"/>
        </w:rPr>
        <w:t xml:space="preserve">– </w:t>
      </w:r>
      <w:r>
        <w:rPr>
          <w:rFonts w:eastAsia="Times New Roman"/>
          <w:color w:val="000000"/>
          <w:sz w:val="28"/>
        </w:rPr>
        <w:t xml:space="preserve">593 ребенка в двух федеральных центрах «Орленок» и «Артек»; </w:t>
      </w:r>
    </w:p>
    <w:p>
      <w:pPr>
        <w:pStyle w:val="Normal"/>
        <w:ind w:firstLine="709"/>
        <w:jc w:val="both"/>
        <w:rPr>
          <w:rFonts w:eastAsia="Times New Roman"/>
          <w:color w:val="000000"/>
          <w:sz w:val="28"/>
        </w:rPr>
      </w:pPr>
      <w:r>
        <w:rPr>
          <w:rFonts w:eastAsia="Times New Roman"/>
          <w:color w:val="000000"/>
          <w:sz w:val="28"/>
        </w:rPr>
        <w:t xml:space="preserve">– </w:t>
      </w:r>
      <w:r>
        <w:rPr>
          <w:rFonts w:eastAsia="Times New Roman"/>
          <w:color w:val="000000"/>
          <w:sz w:val="28"/>
        </w:rPr>
        <w:t>128 детей в ВДЦ «Орленок»;</w:t>
      </w:r>
    </w:p>
    <w:p>
      <w:pPr>
        <w:pStyle w:val="Normal"/>
        <w:ind w:firstLine="709"/>
        <w:jc w:val="both"/>
        <w:rPr>
          <w:rFonts w:eastAsia="Times New Roman"/>
          <w:color w:val="000000"/>
          <w:sz w:val="28"/>
        </w:rPr>
      </w:pPr>
      <w:r>
        <w:rPr>
          <w:rFonts w:eastAsia="Times New Roman"/>
          <w:color w:val="000000"/>
          <w:sz w:val="28"/>
        </w:rPr>
        <w:t xml:space="preserve">– </w:t>
      </w:r>
      <w:r>
        <w:rPr>
          <w:rFonts w:eastAsia="Times New Roman"/>
          <w:color w:val="000000"/>
          <w:sz w:val="28"/>
        </w:rPr>
        <w:t>465 детей в МДЦ «Артек».</w:t>
      </w:r>
    </w:p>
    <w:p>
      <w:pPr>
        <w:pStyle w:val="Normal"/>
        <w:ind w:firstLine="709"/>
        <w:jc w:val="both"/>
        <w:rPr>
          <w:rFonts w:eastAsia="Times New Roman"/>
          <w:color w:val="000000"/>
          <w:sz w:val="28"/>
        </w:rPr>
      </w:pPr>
      <w:r>
        <w:rPr>
          <w:rFonts w:eastAsia="Times New Roman"/>
          <w:color w:val="000000"/>
          <w:sz w:val="28"/>
        </w:rPr>
        <w:t xml:space="preserve">Также в летний период 2024 года в четырех лагерях, расположенных на Черноморском побережье, организован отдых 6 096 ребят из Татарстана Республиканским центром «Черноморец» (4 460 детей) и ГБУ МЦ «Сәләт – </w:t>
        <w:br/>
        <w:t>Ак Барс» (1 636 детей).</w:t>
      </w:r>
    </w:p>
    <w:p>
      <w:pPr>
        <w:pStyle w:val="Normal"/>
        <w:ind w:firstLine="709"/>
        <w:jc w:val="both"/>
        <w:rPr>
          <w:rFonts w:eastAsia="Times New Roman"/>
          <w:color w:val="000000"/>
          <w:sz w:val="28"/>
        </w:rPr>
      </w:pPr>
      <w:r>
        <w:rPr>
          <w:rFonts w:eastAsia="Times New Roman"/>
          <w:color w:val="000000"/>
          <w:sz w:val="28"/>
        </w:rPr>
        <w:t>В период оздоровительной кампании 2024 года был организован отдых 6 128 детей, чьи родители мобилизованы:</w:t>
      </w:r>
    </w:p>
    <w:p>
      <w:pPr>
        <w:pStyle w:val="Normal"/>
        <w:ind w:firstLine="709"/>
        <w:jc w:val="both"/>
        <w:rPr>
          <w:rFonts w:eastAsia="Times New Roman"/>
          <w:color w:val="000000"/>
          <w:sz w:val="28"/>
        </w:rPr>
      </w:pPr>
      <w:r>
        <w:rPr>
          <w:rFonts w:eastAsia="Times New Roman"/>
          <w:color w:val="000000"/>
          <w:sz w:val="28"/>
        </w:rPr>
        <w:t xml:space="preserve">– </w:t>
      </w:r>
      <w:r>
        <w:rPr>
          <w:rFonts w:eastAsia="Times New Roman"/>
          <w:color w:val="000000"/>
          <w:sz w:val="28"/>
        </w:rPr>
        <w:t>3 960 детей в стационарных лагерях;</w:t>
      </w:r>
    </w:p>
    <w:p>
      <w:pPr>
        <w:pStyle w:val="Normal"/>
        <w:ind w:firstLine="709"/>
        <w:jc w:val="both"/>
        <w:rPr>
          <w:rFonts w:eastAsia="Times New Roman"/>
          <w:color w:val="000000"/>
          <w:sz w:val="28"/>
        </w:rPr>
      </w:pPr>
      <w:r>
        <w:rPr>
          <w:rFonts w:eastAsia="Times New Roman"/>
          <w:color w:val="000000"/>
          <w:sz w:val="28"/>
        </w:rPr>
        <w:t xml:space="preserve">– </w:t>
      </w:r>
      <w:r>
        <w:rPr>
          <w:rFonts w:eastAsia="Times New Roman"/>
          <w:color w:val="000000"/>
          <w:sz w:val="28"/>
        </w:rPr>
        <w:t>2 168 детей в пришкольных лагерях.</w:t>
      </w:r>
    </w:p>
    <w:p>
      <w:pPr>
        <w:pStyle w:val="Normal"/>
        <w:ind w:firstLine="709"/>
        <w:jc w:val="both"/>
        <w:rPr>
          <w:rFonts w:eastAsia="Times New Roman"/>
          <w:color w:val="000000"/>
          <w:sz w:val="28"/>
        </w:rPr>
      </w:pPr>
      <w:r>
        <w:rPr>
          <w:rFonts w:eastAsia="Times New Roman"/>
          <w:color w:val="000000"/>
          <w:sz w:val="28"/>
        </w:rPr>
        <w:t xml:space="preserve">В течение оздоровительной кампании 2024 года в лагерях Республики Татарстан отдохнули 1 053 ребенка из регионов России: 512 детей из Донецкой и Луганской Народных Республик, 293 ребенка из Белгородской области и 248 детей из подтопленных территорий Оренбургской области. </w:t>
      </w:r>
    </w:p>
    <w:p>
      <w:pPr>
        <w:pStyle w:val="Normal"/>
        <w:ind w:firstLine="709"/>
        <w:jc w:val="both"/>
        <w:rPr>
          <w:rFonts w:eastAsia="Times New Roman"/>
          <w:color w:val="000000"/>
          <w:sz w:val="28"/>
        </w:rPr>
      </w:pPr>
      <w:r>
        <w:rPr>
          <w:rFonts w:eastAsia="Times New Roman"/>
          <w:color w:val="000000"/>
          <w:sz w:val="28"/>
        </w:rPr>
        <w:t xml:space="preserve">В 2024 году впервые совместно с Общественной палатой Республики Татарстан проведен смотр-конкурс программ профильных смен для детей с расстройством аутистического спектра и другими </w:t>
      </w:r>
      <w:r>
        <w:rPr>
          <w:rFonts w:eastAsia="Times New Roman"/>
          <w:color w:val="000000"/>
          <w:sz w:val="28"/>
          <w:highlight w:val="yellow"/>
        </w:rPr>
        <w:t>ментальными нарушениями</w:t>
      </w:r>
      <w:r>
        <w:rPr>
          <w:rFonts w:eastAsia="Times New Roman"/>
          <w:color w:val="000000"/>
          <w:sz w:val="28"/>
        </w:rPr>
        <w:t xml:space="preserve"> в рамках реализации Концепции комплексного сопровождения людей с расстройством аутистического спектра и другими ментальным нарушениями в Республике Татарстан на 2022 – 2026 годы, утвержденной постановлением Кабинета Министров Республики Татарстан от 14.11.2022 № 1208. По итогам смотра-конкурса реализовано 7 профильных программ с общим охватом 550 человек.</w:t>
      </w:r>
    </w:p>
    <w:p>
      <w:pPr>
        <w:pStyle w:val="Normal"/>
        <w:ind w:firstLine="709"/>
        <w:jc w:val="both"/>
        <w:rPr>
          <w:rFonts w:eastAsia="Times New Roman"/>
          <w:color w:val="000000"/>
          <w:sz w:val="28"/>
        </w:rPr>
      </w:pPr>
      <w:r>
        <w:rPr>
          <w:rFonts w:eastAsia="Times New Roman"/>
          <w:color w:val="000000"/>
          <w:sz w:val="28"/>
        </w:rPr>
        <w:t xml:space="preserve">В целях повышения качества отдыха и оздоровления детей, а также создания современных баз для проведения профильных смен продолжается реализация республиканской программы капитального ремонта, реконструкции и строительства учреждений отдыха и оздоровления детей и молодежи «Лето – детям», с момента старта которой в 2019 году в Татарстане отремонтировано, реконструировано и построено 43 детских оздоровительных лагеря на общую сумму 6,9 млрд рублей. </w:t>
      </w:r>
    </w:p>
    <w:p>
      <w:pPr>
        <w:pStyle w:val="Normal"/>
        <w:ind w:firstLine="709"/>
        <w:jc w:val="both"/>
        <w:rPr>
          <w:rFonts w:eastAsia="Times New Roman"/>
          <w:color w:val="000000"/>
          <w:sz w:val="28"/>
        </w:rPr>
      </w:pPr>
      <w:r>
        <w:rPr>
          <w:rFonts w:eastAsia="Times New Roman"/>
          <w:color w:val="000000"/>
          <w:sz w:val="28"/>
        </w:rPr>
        <w:t xml:space="preserve">В рамках программы реновации детских оздоровительных лагерей в 2024 году проведены работы в 15 детских оздоровительных лагерях на общую сумму </w:t>
        <w:br/>
        <w:t>1,33 млрд рублей.</w:t>
      </w:r>
    </w:p>
    <w:p>
      <w:pPr>
        <w:pStyle w:val="Normal"/>
        <w:suppressAutoHyphens w:val="false"/>
        <w:ind w:firstLine="709"/>
        <w:jc w:val="both"/>
        <w:rPr/>
      </w:pPr>
      <w:r>
        <w:rPr>
          <w:rFonts w:eastAsia="Times New Roman"/>
          <w:spacing w:val="2"/>
          <w:sz w:val="28"/>
          <w:szCs w:val="28"/>
        </w:rPr>
        <w:t xml:space="preserve">В рамках программы летнего отдыха и оздоровления детей и подростков Республиканским </w:t>
      </w:r>
      <w:r>
        <w:rPr>
          <w:rFonts w:eastAsia="Times New Roman"/>
          <w:color w:val="000000"/>
          <w:spacing w:val="2"/>
          <w:sz w:val="28"/>
          <w:szCs w:val="28"/>
        </w:rPr>
        <w:t xml:space="preserve">Центром спортивно-патриотической и допризывной подготовки молодежи «Патриот» </w:t>
      </w:r>
      <w:r>
        <w:rPr>
          <w:rFonts w:eastAsia="Times New Roman"/>
          <w:spacing w:val="2"/>
          <w:sz w:val="28"/>
          <w:szCs w:val="28"/>
        </w:rPr>
        <w:t>ежегодно проводятся летние военно-патриотические палаточные лагеря. В июне 2024 года было открыто 7 военно-палаточных патриотических лагерей в Апастовском, Мамадышском, Мензелинском, Нижнекамском, Нурлатском, Пестречинском, Чистопольском муниципальных районах Республики Татарстан.</w:t>
      </w:r>
    </w:p>
    <w:p>
      <w:pPr>
        <w:pStyle w:val="Normal"/>
        <w:suppressAutoHyphens w:val="false"/>
        <w:ind w:firstLine="709"/>
        <w:jc w:val="both"/>
        <w:rPr>
          <w:rFonts w:eastAsia="Times New Roman"/>
          <w:spacing w:val="2"/>
          <w:sz w:val="28"/>
          <w:szCs w:val="28"/>
        </w:rPr>
      </w:pPr>
      <w:r>
        <w:rPr>
          <w:rFonts w:eastAsia="Times New Roman"/>
          <w:spacing w:val="2"/>
          <w:sz w:val="28"/>
          <w:szCs w:val="28"/>
        </w:rPr>
        <w:t>В летних профильных палаточных лагерях отдохнули 3 тысячи детей, в том числе 1 300 детей, которые состоят на профилактическом учете, и 121 ребенок участников СВО. В ходе работы лагеря проходят занятия по вовлечению подростков к военно-прикладным и техническим видам спорта, изучению комплексного единоборства и элементов рукопашного боя, изучению оружия и военного оборудования, парашютной подготовке и др.</w:t>
      </w:r>
    </w:p>
    <w:p>
      <w:pPr>
        <w:pStyle w:val="Normal"/>
        <w:ind w:firstLine="709"/>
        <w:jc w:val="both"/>
        <w:rPr>
          <w:rFonts w:eastAsia="Times New Roman"/>
          <w:spacing w:val="2"/>
          <w:sz w:val="28"/>
          <w:szCs w:val="28"/>
        </w:rPr>
      </w:pPr>
      <w:r>
        <w:rPr>
          <w:rFonts w:eastAsia="Times New Roman"/>
          <w:spacing w:val="2"/>
          <w:sz w:val="28"/>
          <w:szCs w:val="28"/>
        </w:rPr>
        <w:t xml:space="preserve">ГБУ «Республиканский центр молодежных формирований по охране общественного порядка «Форпост» с 17 по 19 мая на территории лагеря «Бригантина» Высокогорского района Республики Татарстан для 50 человек </w:t>
        <w:br/>
        <w:t xml:space="preserve">из числа молодежи была проведена Республиканская школа актива «План Б». Участники профильной смены смогли пройти обучение и получили навыки по созданию и целеобразованию команды, тайм-менеджменту, критическому мышлению и внешнему употреблению контента.  </w:t>
      </w:r>
    </w:p>
    <w:p>
      <w:pPr>
        <w:pStyle w:val="Normal"/>
        <w:ind w:firstLine="709"/>
        <w:jc w:val="both"/>
        <w:rPr>
          <w:rFonts w:eastAsia="Times New Roman"/>
          <w:spacing w:val="2"/>
          <w:sz w:val="28"/>
          <w:szCs w:val="28"/>
        </w:rPr>
      </w:pPr>
      <w:r>
        <w:rPr>
          <w:position w:val="-1"/>
          <w:sz w:val="28"/>
          <w:szCs w:val="28"/>
          <w:lang w:eastAsia="ar-SA"/>
        </w:rPr>
        <w:t xml:space="preserve">С 31 мая по 2 июня 2024 года </w:t>
      </w:r>
      <w:r>
        <w:rPr>
          <w:rFonts w:eastAsia="Calibri"/>
          <w:sz w:val="28"/>
          <w:szCs w:val="28"/>
        </w:rPr>
        <w:t>на базе детского оздоровительного лагеря                      им. О.Кошевого Высокогорского района</w:t>
      </w:r>
      <w:r>
        <w:rPr>
          <w:sz w:val="28"/>
          <w:szCs w:val="28"/>
        </w:rPr>
        <w:t xml:space="preserve"> проведена профильная смена «На полном серьезе» для 50 подростков, находящихся в трудной жизненной ситуации.</w:t>
      </w:r>
    </w:p>
    <w:p>
      <w:pPr>
        <w:pStyle w:val="Normal"/>
        <w:ind w:firstLine="709"/>
        <w:jc w:val="both"/>
        <w:rPr/>
      </w:pPr>
      <w:r>
        <w:rPr>
          <w:rFonts w:eastAsia="Times New Roman"/>
          <w:color w:val="000000"/>
          <w:sz w:val="28"/>
          <w:szCs w:val="28"/>
        </w:rPr>
        <w:t>14-16 июня и 28-30 июня на территории острова «Вертолетный» Спасского муниципального района проведены две профильные смены «На полном серьезе 3.0.»</w:t>
      </w:r>
      <w:r>
        <w:rPr>
          <w:rFonts w:eastAsia="Times New Roman"/>
          <w:i/>
          <w:color w:val="000000"/>
          <w:sz w:val="28"/>
          <w:szCs w:val="28"/>
        </w:rPr>
        <w:t xml:space="preserve"> </w:t>
      </w:r>
      <w:r>
        <w:rPr>
          <w:rFonts w:eastAsia="Times New Roman"/>
          <w:color w:val="000000"/>
          <w:sz w:val="28"/>
          <w:szCs w:val="28"/>
        </w:rPr>
        <w:t xml:space="preserve">для 100 подростков в возрасте от 14 до 17 лет, состоящих на профильных видах учета. Для участников организованы насыщенные образовательные и познавательные программы. </w:t>
      </w:r>
    </w:p>
    <w:p>
      <w:pPr>
        <w:pStyle w:val="Normal"/>
        <w:ind w:firstLine="709"/>
        <w:jc w:val="both"/>
        <w:rPr>
          <w:rFonts w:eastAsia="Times New Roman"/>
          <w:b/>
          <w:color w:val="000000"/>
          <w:sz w:val="28"/>
        </w:rPr>
      </w:pPr>
      <w:r>
        <w:rPr>
          <w:rFonts w:eastAsia="Times New Roman"/>
          <w:b/>
          <w:color w:val="000000"/>
          <w:sz w:val="28"/>
        </w:rPr>
      </w:r>
    </w:p>
    <w:p>
      <w:pPr>
        <w:pStyle w:val="Normal"/>
        <w:ind w:firstLine="709"/>
        <w:jc w:val="both"/>
        <w:rPr/>
      </w:pPr>
      <w:r>
        <w:rPr>
          <w:rFonts w:eastAsia="Times New Roman"/>
          <w:b/>
          <w:color w:val="000000"/>
          <w:sz w:val="28"/>
        </w:rPr>
        <w:t xml:space="preserve">4. «Поддержка молодых семей. Организация в муниципальных образованиях мероприятий, направленных на популяризацию семейных ценностей, оказание им психологической и консультативной поддержки, </w:t>
        <w:br/>
        <w:t>с охватом не менее 75 тыс. человек».</w:t>
      </w:r>
    </w:p>
    <w:p>
      <w:pPr>
        <w:pStyle w:val="Normal"/>
        <w:ind w:firstLine="709"/>
        <w:jc w:val="both"/>
        <w:rPr>
          <w:rFonts w:eastAsia="Times New Roman"/>
          <w:b/>
          <w:color w:val="000000"/>
          <w:sz w:val="28"/>
        </w:rPr>
      </w:pPr>
      <w:r>
        <w:rPr>
          <w:rFonts w:eastAsia="Times New Roman"/>
          <w:b/>
          <w:color w:val="000000"/>
          <w:sz w:val="28"/>
        </w:rPr>
      </w:r>
    </w:p>
    <w:p>
      <w:pPr>
        <w:pStyle w:val="Normal"/>
        <w:ind w:firstLine="709"/>
        <w:jc w:val="both"/>
        <w:rPr>
          <w:rFonts w:eastAsia="Times New Roman"/>
          <w:b/>
          <w:i/>
          <w:i/>
          <w:iCs/>
          <w:color w:val="000000"/>
          <w:sz w:val="28"/>
        </w:rPr>
      </w:pPr>
      <w:r>
        <w:rPr>
          <w:rFonts w:eastAsia="Times New Roman"/>
          <w:b/>
          <w:i/>
          <w:iCs/>
          <w:color w:val="000000"/>
          <w:sz w:val="28"/>
        </w:rPr>
        <w:t xml:space="preserve">В мероприятиях, направленных на популяризацию семейных ценностей, оказание им психологической и консультативной поддержки, приняло участие </w:t>
        <w:br/>
        <w:t>154,7 тыс. человек.</w:t>
      </w:r>
    </w:p>
    <w:p>
      <w:pPr>
        <w:pStyle w:val="Normal"/>
        <w:ind w:firstLine="709"/>
        <w:jc w:val="both"/>
        <w:rPr/>
      </w:pPr>
      <w:r>
        <w:rPr/>
      </w:r>
    </w:p>
    <w:p>
      <w:pPr>
        <w:pStyle w:val="Normal"/>
        <w:shd w:val="clear" w:color="FFFFFF" w:themeColor="background1" w:fill="FFFFFF" w:themeFill="background1"/>
        <w:ind w:firstLine="709"/>
        <w:jc w:val="both"/>
        <w:rPr/>
      </w:pPr>
      <w:r>
        <w:rPr>
          <w:color w:val="000000"/>
          <w:sz w:val="28"/>
          <w:szCs w:val="28"/>
          <w:highlight w:val="white"/>
        </w:rPr>
        <w:t xml:space="preserve">Работа с молодыми семьями ведется на базе всех учреждений молодежной политики. В  2024 году на базе 35 молодежных центров, 225 молодежных (подростковых) клубов по месту жительства, 7 центров психолого-педагогической помощи детям и молодежи проведено </w:t>
      </w:r>
      <w:r>
        <w:rPr>
          <w:color w:val="000000"/>
          <w:sz w:val="28"/>
          <w:szCs w:val="28"/>
        </w:rPr>
        <w:t>1361 мероприятие</w:t>
        <w:br/>
        <w:t>с охватом 154,7 тыс. человек, что на 78% больше по сравнению с прошлым годом. Это свидетельствует о новом направлении в развитии молодежной и семейной политики.</w:t>
      </w:r>
    </w:p>
    <w:p>
      <w:pPr>
        <w:pStyle w:val="Normal"/>
        <w:ind w:firstLine="709"/>
        <w:jc w:val="both"/>
        <w:rPr/>
      </w:pPr>
      <w:r>
        <w:rPr>
          <w:color w:val="000000"/>
          <w:sz w:val="28"/>
          <w:szCs w:val="28"/>
          <w:highlight w:val="white"/>
        </w:rPr>
        <w:t>В 2024 году, объявленном Годом семьи в России</w:t>
      </w:r>
      <w:r>
        <w:rPr>
          <w:rFonts w:eastAsia="Times New Roman"/>
          <w:iCs/>
          <w:color w:val="000000"/>
          <w:sz w:val="28"/>
          <w:szCs w:val="28"/>
          <w:highlight w:val="white"/>
        </w:rPr>
        <w:t xml:space="preserve">, учреждения молодежной политики, помимо традиционных мер поддержки и мероприятий, направленных </w:t>
        <w:br/>
        <w:t xml:space="preserve">на популяризацию </w:t>
      </w:r>
      <w:r>
        <w:rPr>
          <w:color w:val="000000"/>
          <w:sz w:val="28"/>
          <w:szCs w:val="28"/>
          <w:highlight w:val="white"/>
        </w:rPr>
        <w:t>традиционных семейных ценностей и сохранение преемственности поколений, включают новые форматы взаимодействия с молодыми семьями и масштабируют проекты, получившие позитивную оценку среди молодежи.</w:t>
      </w:r>
    </w:p>
    <w:p>
      <w:pPr>
        <w:pStyle w:val="Normal"/>
        <w:ind w:firstLine="709"/>
        <w:jc w:val="both"/>
        <w:rPr>
          <w:sz w:val="28"/>
          <w:szCs w:val="28"/>
        </w:rPr>
      </w:pPr>
      <w:r>
        <w:rPr>
          <w:color w:val="000000"/>
          <w:sz w:val="28"/>
          <w:szCs w:val="28"/>
          <w:highlight w:val="white"/>
        </w:rPr>
        <w:t xml:space="preserve">В Год семьи заработала новая федеральная платформа семья2024.рф </w:t>
        <w:br/>
        <w:t xml:space="preserve">и республиканский сайт Года семьи в Татарстане family-tatarstan.ru. Министерством совместно с ГБУ «Республиканский центр молодежных, инновационных и профилактических программ «Навигатор», Республиканским агентством по печати и массовым коммуникациям «Татмедиа» регулярно ведется наполнение сайта информацией о планируемых и проведенных семейных мероприятиях в муниципальных образованиях. Данные цифровые ресурсы разработаны как единые информационные платформы, объединяющие все инициативы, документы, меры поддержки и мероприятия, направленные на поддержку семейных ценностей </w:t>
        <w:br/>
        <w:t xml:space="preserve">в России и Республике Татарстан. Всего в 2024 году на федеральном сайте </w:t>
        <w:br/>
        <w:t xml:space="preserve">от республики было опубликовано более 2700 событий. </w:t>
      </w:r>
    </w:p>
    <w:p>
      <w:pPr>
        <w:pStyle w:val="Normal"/>
        <w:ind w:firstLine="709"/>
        <w:jc w:val="both"/>
        <w:rPr/>
      </w:pPr>
      <w:r>
        <w:rPr>
          <w:rFonts w:eastAsia="Calibri"/>
          <w:sz w:val="28"/>
        </w:rPr>
        <w:t>11 марта 2024 г. состоялся Форум молодых семей «Республиканский семейный диалог», который объединил более 100 участников из всех муниципальных образований. Форум стал площадкой для обсуждения проблем молодых семей и разработки эффективных мер государственной поддержки. Принимали участие разные семьи – молодые, многодетные, сельские, семьи участников СВО, одиноких матерей и отцов. В формате стратегической сессии семьи разработали 7 проектов по улучшению уровня жизни молодых семей в разных сферах: жилищная политика, социально-демографическая политика, здравоохранение, образование, культура, безопасность, психолого-педагогическая помощь.</w:t>
      </w:r>
    </w:p>
    <w:p>
      <w:pPr>
        <w:pStyle w:val="Normal"/>
        <w:shd w:val="clear" w:color="FFFFFF" w:themeColor="background1" w:fill="FFFFFF" w:themeFill="background1"/>
        <w:ind w:firstLine="709"/>
        <w:jc w:val="both"/>
        <w:rPr/>
      </w:pPr>
      <w:r>
        <w:rPr>
          <w:color w:val="000000"/>
          <w:sz w:val="28"/>
          <w:szCs w:val="28"/>
          <w:highlight w:val="white"/>
        </w:rPr>
        <w:t>В рамках Года семьи в Республике Татарстан Министерством запущена целая серия проектов под названием «Семейный код», направленных на популяризацию традиционных семейных ценностей и поддержку семейных отношений.</w:t>
      </w:r>
    </w:p>
    <w:p>
      <w:pPr>
        <w:pStyle w:val="Normal"/>
        <w:shd w:val="clear" w:color="FFFFFF" w:themeColor="background1" w:fill="FFFFFF" w:themeFill="background1"/>
        <w:ind w:firstLine="709"/>
        <w:jc w:val="both"/>
        <w:rPr/>
      </w:pPr>
      <w:r>
        <w:rPr>
          <w:color w:val="000000"/>
          <w:sz w:val="28"/>
          <w:szCs w:val="28"/>
          <w:highlight w:val="white"/>
        </w:rPr>
        <w:t xml:space="preserve">Началом послужила выставка фотографий о традиционных семейных ценностях «Семейный код» – проект-победитель Конкурса Министерства физическим лицам на реализацию социально значимых проектов в сфере молодежной политики. В проекте приняли участие 16 молодых семей. </w:t>
      </w:r>
    </w:p>
    <w:p>
      <w:pPr>
        <w:pStyle w:val="Normal"/>
        <w:shd w:val="clear" w:color="FFFFFF" w:themeColor="background1" w:fill="FFFFFF" w:themeFill="background1"/>
        <w:ind w:firstLine="709"/>
        <w:jc w:val="both"/>
        <w:rPr/>
      </w:pPr>
      <w:r>
        <w:rPr>
          <w:color w:val="000000"/>
          <w:sz w:val="28"/>
          <w:szCs w:val="28"/>
          <w:highlight w:val="white"/>
        </w:rPr>
        <w:t xml:space="preserve">Концепция фотовыставки получила высокую оценку Раиса Республики Татарстан Р.Н. Минниханова. Он отметил важность данной инициативы для популяризации традиционных семейных ценностей. В результате его поддержки был создан второй этап проекта, в рамках которого представлены 45 семей из всех муниципальных районов республики. Этот этап выставки стал еще более масштабным и разнообразным, позволяя показать уникальные истории и традиции каждой семьи </w:t>
      </w:r>
      <w:r>
        <w:rPr>
          <w:i/>
          <w:iCs/>
          <w:color w:val="000000"/>
          <w:sz w:val="28"/>
          <w:szCs w:val="28"/>
          <w:highlight w:val="white"/>
        </w:rPr>
        <w:t xml:space="preserve">(на каждом фото имеется </w:t>
      </w:r>
      <w:r>
        <w:rPr>
          <w:i/>
          <w:iCs/>
          <w:color w:val="000000"/>
          <w:sz w:val="28"/>
          <w:szCs w:val="28"/>
          <w:highlight w:val="white"/>
          <w:lang w:val="en-US"/>
        </w:rPr>
        <w:t>QR</w:t>
      </w:r>
      <w:r>
        <w:rPr>
          <w:i/>
          <w:iCs/>
          <w:color w:val="000000"/>
          <w:sz w:val="28"/>
          <w:szCs w:val="28"/>
          <w:highlight w:val="white"/>
        </w:rPr>
        <w:t>-код с историей семьи</w:t>
      </w:r>
      <w:r>
        <w:rPr>
          <w:color w:val="000000"/>
          <w:sz w:val="28"/>
          <w:szCs w:val="28"/>
          <w:highlight w:val="white"/>
        </w:rPr>
        <w:t xml:space="preserve">). </w:t>
      </w:r>
      <w:r>
        <w:rPr>
          <w:color w:val="000000"/>
          <w:sz w:val="28"/>
          <w:szCs w:val="28"/>
        </w:rPr>
        <w:t>Обе выставки путешествуют по общественным, молодежным и культурным площадкам республики. Это успешный механизм, который способствует сохранению семейных связей и традиций, повышает значимость роли семьи среди детей и молодежи.</w:t>
      </w:r>
    </w:p>
    <w:p>
      <w:pPr>
        <w:pStyle w:val="Normal"/>
        <w:shd w:val="clear" w:color="FFFFFF" w:themeColor="background1" w:fill="FFFFFF" w:themeFill="background1"/>
        <w:ind w:firstLine="709"/>
        <w:jc w:val="both"/>
        <w:rPr/>
      </w:pPr>
      <w:r>
        <w:rPr>
          <w:color w:val="000000"/>
          <w:sz w:val="28"/>
          <w:szCs w:val="28"/>
          <w:highlight w:val="white"/>
        </w:rPr>
        <w:t xml:space="preserve">Министерством совместно с АНО «Россия – страна возможностей» </w:t>
        <w:br/>
        <w:t>с 3 сентября по 16 октября 2024 г. реализовано пять проектных сессий для молодежи разных категорий, две из которых были посвящены молодым семьям.</w:t>
      </w:r>
    </w:p>
    <w:p>
      <w:pPr>
        <w:pStyle w:val="Normal"/>
        <w:shd w:val="clear" w:color="FFFFFF" w:themeColor="background1" w:fill="FFFFFF" w:themeFill="background1"/>
        <w:ind w:firstLine="709"/>
        <w:jc w:val="both"/>
        <w:rPr/>
      </w:pPr>
      <w:r>
        <w:rPr>
          <w:color w:val="000000"/>
          <w:sz w:val="28"/>
          <w:szCs w:val="28"/>
          <w:highlight w:val="white"/>
        </w:rPr>
        <w:t>С 10 по 12 сентября 2024 г. на площадке оздоровительного центра «Мингер» Сабинского района состоялась первая сессия «Семейный код: про здоровье». В ней приняли участие 30 молодых пар из Татарстана. Сессия была посвящена сохранению и укреплению физического и ментального здоровья молодых пар. На сессии участники пообщались с ведущими врачами Татарстана и России, прошли бесплатные мастер-классы и получили консультации психологов.</w:t>
      </w:r>
    </w:p>
    <w:p>
      <w:pPr>
        <w:pStyle w:val="Normal"/>
        <w:shd w:val="clear" w:color="FFFFFF" w:themeColor="background1" w:fill="FFFFFF" w:themeFill="background1"/>
        <w:ind w:firstLine="709"/>
        <w:jc w:val="both"/>
        <w:rPr/>
      </w:pPr>
      <w:r>
        <w:rPr>
          <w:color w:val="000000"/>
          <w:sz w:val="28"/>
          <w:szCs w:val="28"/>
          <w:highlight w:val="white"/>
        </w:rPr>
        <w:t>С 16 по 18 октября 2024 г. на базе Молодежного центра «Волга» состоялась вторая Сессия «Семейный код: про отношения», посвященная построению гармоничных отношений в молодых семьях. На проектной сессии участники открывали секреты о построении и поддержании крепких, счастливых отношений и пообщались с ведущими психологами России и Татарстана.</w:t>
      </w:r>
    </w:p>
    <w:p>
      <w:pPr>
        <w:pStyle w:val="Normal"/>
        <w:shd w:val="clear" w:color="FFFFFF" w:themeColor="background1" w:fill="FFFFFF" w:themeFill="background1"/>
        <w:ind w:firstLine="709"/>
        <w:jc w:val="both"/>
        <w:rPr/>
      </w:pPr>
      <w:r>
        <w:rPr>
          <w:color w:val="000000"/>
          <w:sz w:val="28"/>
          <w:szCs w:val="28"/>
          <w:highlight w:val="white"/>
        </w:rPr>
        <w:t xml:space="preserve">6 декабря 2024 г. проведена стратегическая сессия с молодыми, студенческими и многодетными семьями «Семейный код Татарстана: диалог о важном» при участии заместителя председателя Госдумы России Анной Кузнецовой. Сессия прошла в формате прямого диалога с руководителями министерств и ведомств, где семьи рассказали о ключевых проблемах и предложениях в области семейной политики. </w:t>
      </w:r>
    </w:p>
    <w:p>
      <w:pPr>
        <w:pStyle w:val="Normal"/>
        <w:shd w:val="clear" w:color="FFFFFF" w:themeColor="background1" w:fill="FFFFFF" w:themeFill="background1"/>
        <w:ind w:firstLine="709"/>
        <w:jc w:val="both"/>
        <w:rPr/>
      </w:pPr>
      <w:r>
        <w:rPr>
          <w:color w:val="000000"/>
          <w:sz w:val="28"/>
          <w:szCs w:val="28"/>
          <w:highlight w:val="white"/>
        </w:rPr>
        <w:t xml:space="preserve">Таким образом, проект «Семейный код» стал важной частью усилий по поддержке и развитию института семьи в Татарстане, способствуя созданию гармоничного и устойчивого общества. Эти инициативы позволили нам не только познакомить общественность с различными аспектами семейной жизни, </w:t>
        <w:br/>
        <w:t>но и создать платформу для обмена опытом и знаниями.</w:t>
      </w:r>
    </w:p>
    <w:p>
      <w:pPr>
        <w:pStyle w:val="Normal"/>
        <w:shd w:val="clear" w:color="FFFFFF" w:themeColor="background1" w:fill="FFFFFF" w:themeFill="background1"/>
        <w:ind w:firstLine="709"/>
        <w:jc w:val="both"/>
        <w:rPr/>
      </w:pPr>
      <w:r>
        <w:rPr>
          <w:color w:val="000000"/>
          <w:sz w:val="28"/>
          <w:szCs w:val="28"/>
          <w:highlight w:val="white"/>
        </w:rPr>
        <w:t xml:space="preserve">В рамках Комплексной программы, направленной на развитие межличностных коммуникаций и знакомств среди молодежи, в декабре 2024 г. запущен проект «Код сердец». </w:t>
      </w:r>
    </w:p>
    <w:p>
      <w:pPr>
        <w:pStyle w:val="Normal"/>
        <w:shd w:val="clear" w:color="FFFFFF" w:themeColor="background1" w:fill="FFFFFF" w:themeFill="background1"/>
        <w:ind w:firstLine="709"/>
        <w:jc w:val="both"/>
        <w:rPr/>
      </w:pPr>
      <w:r>
        <w:rPr>
          <w:color w:val="000000"/>
          <w:sz w:val="28"/>
          <w:szCs w:val="28"/>
          <w:highlight w:val="white"/>
        </w:rPr>
        <w:t xml:space="preserve">Он представляет собой образовательно-коммуникационный проект для семейных пар и молодёжи от 22 лет. Проект предназначен для тех, кто хочет познакомиться с новыми людьми, расширить свой кругозор и увлекательно провести предновогодний период. </w:t>
      </w:r>
    </w:p>
    <w:p>
      <w:pPr>
        <w:pStyle w:val="Normal"/>
        <w:shd w:val="clear" w:color="FFFFFF" w:themeColor="background1" w:fill="FFFFFF" w:themeFill="background1"/>
        <w:ind w:firstLine="709"/>
        <w:jc w:val="both"/>
        <w:rPr/>
      </w:pPr>
      <w:r>
        <w:rPr>
          <w:color w:val="000000"/>
          <w:sz w:val="28"/>
          <w:szCs w:val="28"/>
          <w:highlight w:val="white"/>
        </w:rPr>
        <w:t xml:space="preserve">Образовательная часть включает в себя цикл лекций по истории России </w:t>
        <w:br/>
        <w:t xml:space="preserve">и Татарстана, тренинги по межличностным коммуникациям и общению, занятия </w:t>
        <w:br/>
        <w:t>по разным видам искусств. 28 декабря 2024 года в театре Алафузова г.Казани прошло итоговое мероприятие, посвященное закрытию Года семьи. Состоялись благотворительная ярмарка, площадка для продвижения молодых и талантливых креативных проектов, интерактивная викторина, награждение активных участников.</w:t>
      </w:r>
    </w:p>
    <w:p>
      <w:pPr>
        <w:pStyle w:val="Normal"/>
        <w:ind w:firstLine="709"/>
        <w:jc w:val="both"/>
        <w:rPr>
          <w:color w:themeColor="text1" w:val="000000"/>
          <w:sz w:val="28"/>
          <w:szCs w:val="28"/>
        </w:rPr>
      </w:pPr>
      <w:r>
        <w:rPr>
          <w:color w:themeColor="text1" w:val="000000"/>
          <w:sz w:val="28"/>
          <w:szCs w:val="28"/>
          <w:highlight w:val="white"/>
        </w:rPr>
        <w:t>В Международный день семьи (15 мая 2024 г.) в муниципальных районах проведено 152 мероприятия с охватом 17,9 тыс. человек. В частности, организованы акции «Международный день семьи», «О семейных ценностях, традициях и профилактике семейных конфликтах»; беседы, лекции, диспуты, круглые столы, кураторские и классные часы, встречи с психологами, интерактивные и тренинговые занятия на темы «Семья и семейные ценности»; конкурсы и выставки рисунков, плакатов, фотографий и других творческих работ «Моя семья»; праздничные мероприятия, литературные и музыкальные вечера, спектакли, фестивали, фотосессии «Любовь, семья, май»; мастер-классы по прикладному творчеству, кулинарии, скрапбукингу, запоминанию английских слов, гончарному искусству, витражной росписи; кинолектории, просмотры фильмов «День семейного кино»; спортивные мероприятия, эстафеты, турниры, сдача нормативов ГТО совместно с семьей «Дружная семья».</w:t>
      </w:r>
    </w:p>
    <w:p>
      <w:pPr>
        <w:pStyle w:val="Normal"/>
        <w:ind w:firstLine="709"/>
        <w:jc w:val="both"/>
        <w:rPr>
          <w:color w:themeColor="text1" w:val="000000"/>
          <w:sz w:val="28"/>
          <w:szCs w:val="28"/>
        </w:rPr>
      </w:pPr>
      <w:r>
        <w:rPr>
          <w:color w:themeColor="text1" w:val="000000"/>
          <w:sz w:val="28"/>
          <w:szCs w:val="28"/>
          <w:highlight w:val="white"/>
        </w:rPr>
        <w:t xml:space="preserve">В Международный день защиты детей (1 июня) проведено 178 мероприятий </w:t>
        <w:br/>
        <w:t xml:space="preserve">с охватом 41 235 человек. Для родителей вместе с детьми организованы встречи </w:t>
        <w:br/>
        <w:t xml:space="preserve">с главами муниципальных образований республики, концертно-развлекательные программы, праздники двора, фестивали «Этот мир мы дарим детям»; беседы, лекции «День защиты детей»; конкурсы рисунков на асфальте; онлайн-конкурс </w:t>
        <w:br/>
        <w:t>«Моё счастливое детство»; семейные мастер-классы, онлайн-флешмоб; работали тематические «горячие линии» по вопросам жестокого обращения в семье.</w:t>
      </w:r>
    </w:p>
    <w:p>
      <w:pPr>
        <w:pStyle w:val="Normal"/>
        <w:shd w:val="clear" w:color="FFFFFF" w:themeColor="background1" w:fill="FFFFFF" w:themeFill="background1"/>
        <w:ind w:firstLine="709"/>
        <w:jc w:val="both"/>
        <w:rPr/>
      </w:pPr>
      <w:r>
        <w:rPr>
          <w:color w:val="000000"/>
          <w:sz w:val="28"/>
          <w:szCs w:val="28"/>
          <w:highlight w:val="white"/>
        </w:rPr>
        <w:t xml:space="preserve">В рамках Дня семьи, любви и верности (8 июля 2024 г.) проведено </w:t>
        <w:br/>
        <w:t>164 мероприятия с охватом 17 505 человек. Проведены такие мероприятия, как викторины «Семейные ценности», вечера знакомств, конкурсы рисунков «Моя семья – мое будущее», мастер-классы «Ромашковое счастье», фотовыставки семейных фотографий, семейные кино и караоке вечера, встречи «Школы молодого родителя».</w:t>
      </w:r>
    </w:p>
    <w:p>
      <w:pPr>
        <w:pStyle w:val="Normal"/>
        <w:shd w:val="clear" w:color="FFFFFF" w:themeColor="background1" w:fill="FFFFFF" w:themeFill="background1"/>
        <w:ind w:firstLine="709"/>
        <w:jc w:val="both"/>
        <w:rPr/>
      </w:pPr>
      <w:r>
        <w:rPr>
          <w:color w:val="000000"/>
          <w:sz w:val="28"/>
          <w:szCs w:val="28"/>
          <w:highlight w:val="white"/>
        </w:rPr>
        <w:t xml:space="preserve">Созданные в каждом муниципальном районе 55 клубов молодых семей вносят свой вклад в укрепление института семьи, вовлекая их в совместную культурно-досуговую деятельность. </w:t>
      </w:r>
    </w:p>
    <w:p>
      <w:pPr>
        <w:pStyle w:val="Normal"/>
        <w:shd w:val="clear" w:color="FFFFFF" w:themeColor="background1" w:fill="FFFFFF" w:themeFill="background1"/>
        <w:ind w:firstLine="709"/>
        <w:jc w:val="both"/>
        <w:rPr/>
      </w:pPr>
      <w:r>
        <w:rPr>
          <w:color w:val="000000"/>
          <w:sz w:val="28"/>
          <w:szCs w:val="28"/>
        </w:rPr>
        <w:t xml:space="preserve">С целью повышения уровня профессиональных компетенций педагогов-психологов в вопросах психологического сопровождения членов семей участников специальной военной операции (ветеранов), в том числе их несовершеннолетних детей, 28 сентября 2024 г. Министерством организован и проведен семинар-практикум с участием клинического психолога, эксперта в области экстремальных и кризисных состояний личности, спасателя II класса МЧС России, I класса ГК «РОСАТОМ» Татьяны Юрьевны Синицыной по теме: «Психологическая помощь </w:t>
        <w:br/>
        <w:t xml:space="preserve">и поддержка участников специальной военной операции и членов их семей». </w:t>
        <w:br/>
        <w:t>В мероприятии приняло участие 100 психологов сфер молодежной политики, образования, социальной защиты, здравоохранения, а также специалисты филиала Государственного фонда поддержки участников специальной военной операции «Защитники Отечества», Татарстанского регионального отделения «Российский Красный Крест».</w:t>
      </w:r>
    </w:p>
    <w:p>
      <w:pPr>
        <w:pStyle w:val="Normal"/>
        <w:shd w:val="clear" w:color="FFFFFF" w:themeColor="background1" w:fill="FFFFFF" w:themeFill="background1"/>
        <w:ind w:firstLine="709"/>
        <w:jc w:val="both"/>
        <w:rPr/>
      </w:pPr>
      <w:r>
        <w:rPr>
          <w:color w:val="000000"/>
          <w:sz w:val="28"/>
          <w:szCs w:val="28"/>
        </w:rPr>
        <w:t xml:space="preserve">Значимыми событиями в муниципальных районах республики стали: </w:t>
      </w:r>
    </w:p>
    <w:p>
      <w:pPr>
        <w:pStyle w:val="Normal"/>
        <w:shd w:val="clear" w:color="FFFFFF" w:themeColor="background1" w:fill="FFFFFF" w:themeFill="background1"/>
        <w:ind w:firstLine="709"/>
        <w:jc w:val="both"/>
        <w:rPr>
          <w:color w:val="000000"/>
          <w:sz w:val="28"/>
          <w:szCs w:val="28"/>
        </w:rPr>
      </w:pPr>
      <w:r>
        <w:rPr>
          <w:color w:val="000000"/>
          <w:sz w:val="28"/>
          <w:szCs w:val="28"/>
        </w:rPr>
        <w:t xml:space="preserve">– </w:t>
      </w:r>
      <w:r>
        <w:rPr>
          <w:color w:val="000000"/>
          <w:sz w:val="28"/>
          <w:szCs w:val="28"/>
        </w:rPr>
        <w:t>в Альметьевском муниципальном районе 7 сентября состоялся Семейный забег в рамках общегородской акции «Бежим за счастьем», в котором приняли участие более 5000 человек;</w:t>
      </w:r>
    </w:p>
    <w:p>
      <w:pPr>
        <w:pStyle w:val="Normal"/>
        <w:shd w:val="clear" w:color="FFFFFF" w:themeColor="background1" w:fill="FFFFFF" w:themeFill="background1"/>
        <w:ind w:firstLine="709"/>
        <w:jc w:val="both"/>
        <w:rPr/>
      </w:pPr>
      <w:r>
        <w:rPr>
          <w:color w:val="000000"/>
          <w:sz w:val="28"/>
          <w:szCs w:val="28"/>
        </w:rPr>
        <w:t xml:space="preserve">– </w:t>
      </w:r>
      <w:r>
        <w:rPr>
          <w:color w:val="000000"/>
          <w:sz w:val="28"/>
          <w:szCs w:val="28"/>
        </w:rPr>
        <w:t>в Нижнекамском муниципальном районе 21 сентября прошёл семейный фестиваль «Добрый Нижнекамск». Для семей были организованы различные мероприятия: мастер-классы, акции «Старость в радость» и «Мой друг», спортивные тренировки по разным направлениям. В мероприятии приняло участие более 1500 челов</w:t>
      </w:r>
      <w:r>
        <w:rPr>
          <w:rFonts w:eastAsia="Calibri"/>
          <w:color w:val="000000"/>
          <w:sz w:val="28"/>
          <w:szCs w:val="28"/>
        </w:rPr>
        <w:t>ек;</w:t>
      </w:r>
    </w:p>
    <w:p>
      <w:pPr>
        <w:pStyle w:val="Normal"/>
        <w:shd w:val="clear" w:color="FFFFFF" w:themeColor="background1" w:fill="FFFFFF" w:themeFill="background1"/>
        <w:ind w:firstLine="709"/>
        <w:jc w:val="both"/>
        <w:rPr>
          <w:rFonts w:eastAsia="Calibri"/>
          <w:color w:val="000000"/>
          <w:sz w:val="28"/>
          <w:szCs w:val="28"/>
        </w:rPr>
      </w:pPr>
      <w:r>
        <w:rPr>
          <w:rFonts w:eastAsia="Calibri"/>
          <w:color w:val="000000"/>
          <w:sz w:val="28"/>
          <w:szCs w:val="28"/>
        </w:rPr>
        <w:t xml:space="preserve">– </w:t>
      </w:r>
      <w:r>
        <w:rPr>
          <w:rFonts w:eastAsia="Calibri"/>
          <w:color w:val="000000"/>
          <w:sz w:val="28"/>
          <w:szCs w:val="28"/>
        </w:rPr>
        <w:t xml:space="preserve">в Пестречинском муниципальном районе 13 сентября состоялся районный конкурс – фестиваль семейного творчества «Семейный выход». На мероприятии организованы выставки декоративно-прикладного искусства, фотографии победителей фотоконкурса «Семья в объективе», конкурса рисунка «Наша семья», мастер-класс по плетению маскировочных сетей от серебряных волонтеров и мастер-класс от магазина «Березка». </w:t>
      </w:r>
    </w:p>
    <w:p>
      <w:pPr>
        <w:pStyle w:val="Normal"/>
        <w:ind w:firstLine="709"/>
        <w:jc w:val="both"/>
        <w:rPr>
          <w:rFonts w:eastAsia="Times New Roman"/>
          <w:b/>
          <w:color w:val="000000"/>
          <w:sz w:val="28"/>
        </w:rPr>
      </w:pPr>
      <w:r>
        <w:rPr>
          <w:rFonts w:eastAsia="Times New Roman"/>
          <w:b/>
          <w:color w:val="000000"/>
          <w:sz w:val="28"/>
        </w:rPr>
      </w:r>
    </w:p>
    <w:p>
      <w:pPr>
        <w:pStyle w:val="Normal"/>
        <w:ind w:firstLine="709"/>
        <w:jc w:val="both"/>
        <w:rPr>
          <w:b/>
          <w:bCs/>
        </w:rPr>
      </w:pPr>
      <w:r>
        <w:rPr>
          <w:rFonts w:eastAsia="Times New Roman"/>
          <w:b/>
          <w:bCs/>
          <w:color w:val="000000"/>
          <w:sz w:val="28"/>
        </w:rPr>
        <w:t>5. «Обеспечение жильем молодых семей. Улучшение жилищных условий не менее 1000 молодых семей и молодых специалистов в рамках государственных молодежных жилищных программ в формате субсидий, льготной ипотеки, беспроцентной рассрочки».</w:t>
      </w:r>
    </w:p>
    <w:p>
      <w:pPr>
        <w:pStyle w:val="Normal"/>
        <w:ind w:firstLine="709"/>
        <w:jc w:val="both"/>
        <w:rPr>
          <w:rFonts w:eastAsia="Times New Roman"/>
          <w:b/>
          <w:color w:val="000000"/>
          <w:sz w:val="28"/>
        </w:rPr>
      </w:pPr>
      <w:r>
        <w:rPr>
          <w:rFonts w:eastAsia="Times New Roman"/>
          <w:b/>
          <w:color w:val="000000"/>
          <w:sz w:val="28"/>
        </w:rPr>
      </w:r>
    </w:p>
    <w:p>
      <w:pPr>
        <w:pStyle w:val="Normal"/>
        <w:ind w:firstLine="709"/>
        <w:jc w:val="both"/>
        <w:rPr>
          <w:b/>
          <w:bCs/>
          <w:i/>
          <w:i/>
          <w:iCs/>
        </w:rPr>
      </w:pPr>
      <w:r>
        <w:rPr>
          <w:b/>
          <w:bCs/>
          <w:i/>
          <w:iCs/>
          <w:sz w:val="28"/>
          <w:szCs w:val="28"/>
        </w:rPr>
        <w:t>В рамках государственных молодежных жилищных программ улучшили жилищные условия 658 молодых семей и молодых специалистов.</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 xml:space="preserve">Ключевой задачей государственной молодежной политики является </w:t>
      </w:r>
      <w:r>
        <w:rPr>
          <w:b/>
          <w:sz w:val="28"/>
          <w:szCs w:val="28"/>
        </w:rPr>
        <w:t>поддержка молодых семей</w:t>
      </w:r>
      <w:r>
        <w:rPr>
          <w:sz w:val="28"/>
          <w:szCs w:val="28"/>
        </w:rPr>
        <w:t>. В Республике Татарстане по линии Министерства по делам молодежи Республики Татарстан действуют 4</w:t>
      </w:r>
      <w:r>
        <w:rPr>
          <w:b/>
          <w:sz w:val="28"/>
          <w:szCs w:val="28"/>
        </w:rPr>
        <w:t xml:space="preserve"> молодежные жилищные программы</w:t>
      </w:r>
      <w:r>
        <w:rPr>
          <w:sz w:val="28"/>
          <w:szCs w:val="28"/>
        </w:rPr>
        <w:t>: республиканская льготная ипотека, беспроцентная рассрочка, на условиях федерального софинансирования – безвозмездные субсидии молодым семьям и молодежный жилищный конкурс.</w:t>
      </w:r>
    </w:p>
    <w:p>
      <w:pPr>
        <w:pStyle w:val="Normal"/>
        <w:ind w:firstLine="709"/>
        <w:jc w:val="both"/>
        <w:rPr>
          <w:sz w:val="28"/>
          <w:szCs w:val="28"/>
        </w:rPr>
      </w:pPr>
      <w:r>
        <w:rPr>
          <w:sz w:val="28"/>
          <w:szCs w:val="28"/>
        </w:rPr>
        <w:t xml:space="preserve">За 2024 год 658 татарстанских молодых семей приобрели собственное жилье благодаря государственной поддержке. </w:t>
      </w:r>
    </w:p>
    <w:p>
      <w:pPr>
        <w:pStyle w:val="Normal"/>
        <w:ind w:firstLine="709"/>
        <w:jc w:val="both"/>
        <w:rPr>
          <w:sz w:val="28"/>
          <w:szCs w:val="28"/>
        </w:rPr>
      </w:pPr>
      <w:r>
        <w:rPr>
          <w:rFonts w:eastAsia="Calibri" w:eastAsiaTheme="minorHAnsi"/>
          <w:sz w:val="28"/>
          <w:szCs w:val="28"/>
          <w:shd w:fill="auto" w:val="clear"/>
        </w:rPr>
        <w:t>Государственная поддержка молодых семей в приобретении жилья стала</w:t>
      </w:r>
      <w:r>
        <w:rPr>
          <w:sz w:val="28"/>
          <w:szCs w:val="28"/>
        </w:rPr>
        <w:t xml:space="preserve"> возможна благодаря запуску с июля 2020 года программы «Молодая семья» на льготных условиях социальной ипотеки Госжилфонда Татарстана</w:t>
      </w:r>
      <w:r>
        <w:rPr>
          <w:i/>
          <w:sz w:val="28"/>
          <w:szCs w:val="28"/>
        </w:rPr>
        <w:t>.</w:t>
      </w:r>
      <w:r>
        <w:rPr>
          <w:sz w:val="28"/>
          <w:szCs w:val="28"/>
        </w:rPr>
        <w:t xml:space="preserve"> Только за 2024 год по этой программе улучшила свои жилищные условия 551 молодая семья из 27 городов и районов Татарстана. </w:t>
      </w:r>
    </w:p>
    <w:p>
      <w:pPr>
        <w:pStyle w:val="Normal"/>
        <w:ind w:firstLine="709"/>
        <w:jc w:val="both"/>
        <w:rPr>
          <w:sz w:val="28"/>
          <w:szCs w:val="28"/>
        </w:rPr>
      </w:pPr>
      <w:r>
        <w:rPr>
          <w:sz w:val="28"/>
          <w:szCs w:val="28"/>
        </w:rPr>
        <w:t xml:space="preserve">Благодаря Решению Раиса Республики Татарстан Р.Н. Минниханова </w:t>
        <w:br/>
        <w:t xml:space="preserve">с 2023 года в два раза с 50 до 100 млн рублей увеличено ежегодное финансирование из средств бюджета Республики Татарстан программы безвозмездных субсидий «Обеспечение жильем молодых семей», реализуемой в Татарстане на условиях федерального софинансирования Минстроем России. </w:t>
      </w:r>
      <w:r>
        <w:rPr>
          <w:rStyle w:val="S1"/>
          <w:sz w:val="28"/>
          <w:szCs w:val="28"/>
        </w:rPr>
        <w:t>За 2024 год предоставлены субсидии 84 молодым семьям из 41 города и района Татарстана</w:t>
      </w:r>
      <w:r>
        <w:rPr>
          <w:sz w:val="28"/>
          <w:szCs w:val="28"/>
        </w:rPr>
        <w:t xml:space="preserve">. </w:t>
      </w:r>
    </w:p>
    <w:p>
      <w:pPr>
        <w:pStyle w:val="Normal"/>
        <w:ind w:firstLine="709"/>
        <w:jc w:val="both"/>
        <w:rPr>
          <w:sz w:val="28"/>
          <w:szCs w:val="28"/>
        </w:rPr>
      </w:pPr>
      <w:r>
        <w:rPr>
          <w:sz w:val="28"/>
          <w:szCs w:val="28"/>
        </w:rPr>
        <w:t xml:space="preserve">В рамках реализации Закона Республики Татарстан от 21.10.1999 № 2442 </w:t>
        <w:br/>
        <w:t xml:space="preserve">«О государственной поддержке молодых семей в улучшении жилищных условий» </w:t>
        <w:br/>
        <w:t xml:space="preserve">в 2024 году поддержано 16 семей. </w:t>
      </w:r>
    </w:p>
    <w:p>
      <w:pPr>
        <w:pStyle w:val="Normal"/>
        <w:ind w:firstLine="709"/>
        <w:jc w:val="both"/>
        <w:rPr>
          <w:rStyle w:val="Emphasis"/>
          <w:rFonts w:eastAsia="Times New Roman"/>
          <w:i w:val="false"/>
          <w:i w:val="false"/>
          <w:sz w:val="28"/>
          <w:szCs w:val="28"/>
        </w:rPr>
      </w:pPr>
      <w:r>
        <w:rPr>
          <w:rStyle w:val="Emphasis"/>
          <w:rFonts w:eastAsia="Times New Roman"/>
          <w:i w:val="false"/>
          <w:sz w:val="28"/>
          <w:szCs w:val="28"/>
        </w:rPr>
        <w:t>Для поддержки лидеров молодежной политики в улучшении жилищных условий проводится Молодежный жилищный конкурс (далее – Конкурс) социальной ипотеки Госжилфонда Татарстана. Получить льготную ипотеку могут представители молодежных организаций и студенты-активисты, специалисты по работе с молодежью на промпредприятиях и организациях, в том числе негосударственных, и ответственные по работе с молодежью в образовательных учреждениях. Ежегодно в Конкурсе разыгрывается порядка 49 квартир. В 2024 г. 49 молодых специалистов (в том числе 7 молодых  семей) улучшили жилищные условия.</w:t>
      </w:r>
    </w:p>
    <w:p>
      <w:pPr>
        <w:pStyle w:val="Normal"/>
        <w:ind w:firstLine="709"/>
        <w:jc w:val="both"/>
        <w:rPr>
          <w:rFonts w:eastAsia="Times New Roman"/>
          <w:b/>
          <w:color w:val="000000"/>
          <w:sz w:val="28"/>
        </w:rPr>
      </w:pPr>
      <w:r>
        <w:rPr>
          <w:rFonts w:eastAsia="Times New Roman"/>
          <w:b/>
          <w:color w:val="000000"/>
          <w:sz w:val="28"/>
        </w:rPr>
        <w:t xml:space="preserve"> </w:t>
      </w:r>
    </w:p>
    <w:p>
      <w:pPr>
        <w:pStyle w:val="Normal"/>
        <w:ind w:firstLine="709"/>
        <w:jc w:val="both"/>
        <w:rPr/>
      </w:pPr>
      <w:r>
        <w:rPr>
          <w:rFonts w:eastAsia="Times New Roman"/>
          <w:b/>
          <w:color w:val="000000"/>
          <w:sz w:val="28"/>
        </w:rPr>
        <w:t>6. «Содействие занятости несовершеннолетних. Обеспечение различными формами занятости в каникулярный период на базе учреждений молодежной политики не менее 50 процентов несовершеннолетних в возрасте 14-17 лет».</w:t>
      </w:r>
    </w:p>
    <w:p>
      <w:pPr>
        <w:pStyle w:val="Normal"/>
        <w:ind w:firstLine="709"/>
        <w:jc w:val="both"/>
        <w:rPr>
          <w:b/>
          <w:i/>
          <w:i/>
          <w:sz w:val="28"/>
        </w:rPr>
      </w:pPr>
      <w:r>
        <w:rPr>
          <w:b/>
          <w:i/>
          <w:sz w:val="28"/>
        </w:rPr>
      </w:r>
    </w:p>
    <w:p>
      <w:pPr>
        <w:pStyle w:val="Normal"/>
        <w:ind w:firstLine="709"/>
        <w:jc w:val="both"/>
        <w:rPr>
          <w:b/>
          <w:i/>
          <w:i/>
          <w:sz w:val="28"/>
        </w:rPr>
      </w:pPr>
      <w:r>
        <w:rPr>
          <w:b/>
          <w:i/>
          <w:sz w:val="28"/>
        </w:rPr>
        <w:t>Различными формами занятости на базе учреждений молодежной политики охвачено более 92 тыс. несовершеннолетних в возрасте 14-17 лет (54,1%)</w:t>
      </w:r>
    </w:p>
    <w:p>
      <w:pPr>
        <w:pStyle w:val="Normal"/>
        <w:ind w:firstLine="709"/>
        <w:jc w:val="both"/>
        <w:rPr>
          <w:sz w:val="28"/>
        </w:rPr>
      </w:pPr>
      <w:r>
        <w:rPr>
          <w:sz w:val="28"/>
        </w:rPr>
        <w:t>В рамках реализации задач по содействию занятости несовершеннолетних учреждениями молодёжной политики в течение 2024 года организованы мероприятия по направлениям, учитывающим различные интересы и потребности данной возрастной категории:</w:t>
      </w:r>
    </w:p>
    <w:p>
      <w:pPr>
        <w:pStyle w:val="Normal"/>
        <w:ind w:firstLine="709"/>
        <w:jc w:val="both"/>
        <w:rPr>
          <w:sz w:val="28"/>
        </w:rPr>
      </w:pPr>
      <w:r>
        <w:rPr>
          <w:sz w:val="28"/>
        </w:rPr>
        <w:t xml:space="preserve">– </w:t>
      </w:r>
      <w:r>
        <w:rPr>
          <w:sz w:val="28"/>
        </w:rPr>
        <w:t>вовлечение молодежи в творческую деятельность, поддержку молодых деятелей искусства, а также талантливой молодежи, занимающейся современными видами творчества и не имеющей специального образования;</w:t>
      </w:r>
    </w:p>
    <w:p>
      <w:pPr>
        <w:pStyle w:val="Normal"/>
        <w:ind w:firstLine="709"/>
        <w:jc w:val="both"/>
        <w:rPr>
          <w:sz w:val="28"/>
        </w:rPr>
      </w:pPr>
      <w:r>
        <w:rPr>
          <w:sz w:val="28"/>
        </w:rPr>
        <w:t xml:space="preserve">– </w:t>
      </w:r>
      <w:r>
        <w:rPr>
          <w:sz w:val="28"/>
        </w:rPr>
        <w:t>предупреждение правонарушений и антиобщественных действий молодежи;</w:t>
      </w:r>
    </w:p>
    <w:p>
      <w:pPr>
        <w:pStyle w:val="Normal"/>
        <w:ind w:firstLine="709"/>
        <w:jc w:val="both"/>
        <w:rPr>
          <w:sz w:val="28"/>
        </w:rPr>
      </w:pPr>
      <w:r>
        <w:rPr>
          <w:sz w:val="28"/>
        </w:rPr>
        <w:t xml:space="preserve">– </w:t>
      </w:r>
      <w:r>
        <w:rPr>
          <w:sz w:val="28"/>
        </w:rPr>
        <w:t>формирование экологической культуры молодежи;</w:t>
      </w:r>
    </w:p>
    <w:p>
      <w:pPr>
        <w:pStyle w:val="Normal"/>
        <w:ind w:firstLine="709"/>
        <w:jc w:val="both"/>
        <w:rPr>
          <w:sz w:val="28"/>
        </w:rPr>
      </w:pPr>
      <w:r>
        <w:rPr>
          <w:sz w:val="28"/>
        </w:rPr>
        <w:t xml:space="preserve">– </w:t>
      </w:r>
      <w:r>
        <w:rPr>
          <w:sz w:val="28"/>
        </w:rPr>
        <w:t>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объединений;</w:t>
      </w:r>
    </w:p>
    <w:p>
      <w:pPr>
        <w:pStyle w:val="Normal"/>
        <w:ind w:firstLine="709"/>
        <w:jc w:val="both"/>
        <w:rPr>
          <w:sz w:val="28"/>
        </w:rPr>
      </w:pPr>
      <w:r>
        <w:rPr>
          <w:sz w:val="28"/>
        </w:rPr>
        <w:t xml:space="preserve">– </w:t>
      </w:r>
      <w:r>
        <w:rPr>
          <w:sz w:val="28"/>
        </w:rPr>
        <w:t>организация досуга, отдыха, оздоровления молодежи, формирование условий для занятий физической культурой, спортом, содействие здоровому образу жизни молодежи;</w:t>
      </w:r>
    </w:p>
    <w:p>
      <w:pPr>
        <w:pStyle w:val="Normal"/>
        <w:ind w:firstLine="709"/>
        <w:jc w:val="both"/>
        <w:rPr>
          <w:sz w:val="28"/>
        </w:rPr>
      </w:pPr>
      <w:r>
        <w:rPr>
          <w:sz w:val="28"/>
        </w:rPr>
        <w:t xml:space="preserve">– </w:t>
      </w:r>
      <w:r>
        <w:rPr>
          <w:sz w:val="28"/>
        </w:rPr>
        <w:t>воспитание гражданственности, патриотизма, преемственности традиций, уважение к отечественной истории, историческим, национальным и иным традициям народов Российской Федерации;</w:t>
        <w:tab/>
      </w:r>
    </w:p>
    <w:p>
      <w:pPr>
        <w:pStyle w:val="Normal"/>
        <w:ind w:firstLine="709"/>
        <w:jc w:val="both"/>
        <w:rPr>
          <w:sz w:val="28"/>
        </w:rPr>
      </w:pPr>
      <w:r>
        <w:rPr>
          <w:sz w:val="28"/>
        </w:rPr>
        <w:t xml:space="preserve">– </w:t>
      </w:r>
      <w:r>
        <w:rPr>
          <w:sz w:val="28"/>
        </w:rPr>
        <w:t>поддержка и содействие предпринимательской деятельности молодежи;</w:t>
      </w:r>
    </w:p>
    <w:p>
      <w:pPr>
        <w:pStyle w:val="Normal"/>
        <w:ind w:firstLine="709"/>
        <w:jc w:val="both"/>
        <w:rPr>
          <w:sz w:val="28"/>
        </w:rPr>
      </w:pPr>
      <w:r>
        <w:rPr>
          <w:sz w:val="28"/>
        </w:rPr>
        <w:t xml:space="preserve">– </w:t>
      </w:r>
      <w:r>
        <w:rPr>
          <w:sz w:val="28"/>
        </w:rPr>
        <w:t>содействие участию молодежи в добровольческой (волонтерской) деятельности;</w:t>
      </w:r>
    </w:p>
    <w:p>
      <w:pPr>
        <w:pStyle w:val="Normal"/>
        <w:ind w:firstLine="709"/>
        <w:jc w:val="both"/>
        <w:rPr>
          <w:sz w:val="28"/>
        </w:rPr>
      </w:pPr>
      <w:r>
        <w:rPr>
          <w:sz w:val="28"/>
        </w:rPr>
        <w:t xml:space="preserve">– </w:t>
      </w:r>
      <w:r>
        <w:rPr>
          <w:sz w:val="28"/>
        </w:rPr>
        <w:t xml:space="preserve">развитие молодежного туризма; </w:t>
      </w:r>
    </w:p>
    <w:p>
      <w:pPr>
        <w:pStyle w:val="Normal"/>
        <w:ind w:firstLine="709"/>
        <w:jc w:val="both"/>
        <w:rPr/>
      </w:pPr>
      <w:r>
        <w:rPr>
          <w:sz w:val="28"/>
        </w:rPr>
        <w:t xml:space="preserve">– </w:t>
      </w:r>
      <w:r>
        <w:rPr>
          <w:sz w:val="28"/>
        </w:rPr>
        <w:t>содействие формированию безопасной цифровой среды.</w:t>
      </w:r>
    </w:p>
    <w:p>
      <w:pPr>
        <w:pStyle w:val="Normal"/>
        <w:ind w:firstLine="709"/>
        <w:jc w:val="both"/>
        <w:rPr>
          <w:bCs/>
          <w:sz w:val="28"/>
          <w:szCs w:val="28"/>
        </w:rPr>
      </w:pPr>
      <w:r>
        <w:rPr>
          <w:bCs/>
          <w:sz w:val="28"/>
          <w:szCs w:val="28"/>
        </w:rPr>
        <w:t xml:space="preserve">Министерством по делам молодежи Республики Татарстан и муниципальными образованиями организован ежемесячный мониторинг посещения несовершеннолетними, состоящими на профилактических учётах, а также воспитывающимися в семьях, находящихся в социально опасном положении, мероприятий, проводимых учреждениями молодежной политики. </w:t>
      </w:r>
    </w:p>
    <w:p>
      <w:pPr>
        <w:pStyle w:val="Normal"/>
        <w:ind w:firstLine="709"/>
        <w:jc w:val="both"/>
        <w:rPr>
          <w:bCs/>
          <w:sz w:val="28"/>
          <w:szCs w:val="28"/>
        </w:rPr>
      </w:pPr>
      <w:r>
        <w:rPr>
          <w:bCs/>
          <w:sz w:val="28"/>
          <w:szCs w:val="28"/>
        </w:rPr>
        <w:t>По состоянию на 31 декабря 2024 г.:</w:t>
      </w:r>
    </w:p>
    <w:p>
      <w:pPr>
        <w:pStyle w:val="Normal"/>
        <w:ind w:firstLine="709"/>
        <w:jc w:val="both"/>
        <w:rPr>
          <w:bCs/>
          <w:sz w:val="28"/>
          <w:szCs w:val="28"/>
        </w:rPr>
      </w:pPr>
      <w:r>
        <w:rPr>
          <w:bCs/>
          <w:sz w:val="28"/>
          <w:szCs w:val="28"/>
        </w:rPr>
        <w:t xml:space="preserve">– </w:t>
      </w:r>
      <w:r>
        <w:rPr>
          <w:bCs/>
          <w:sz w:val="28"/>
          <w:szCs w:val="28"/>
        </w:rPr>
        <w:t xml:space="preserve">в социально опасном положении находились 877 несовершеннолетних </w:t>
        <w:br/>
        <w:t>14-17 лет, из них 495 были охвачены систематическими мероприятиями учреждений молодежной политики, 669 – единоразовым посещением учреждений или мероприятий;</w:t>
      </w:r>
    </w:p>
    <w:p>
      <w:pPr>
        <w:pStyle w:val="Normal"/>
        <w:ind w:firstLine="709"/>
        <w:jc w:val="both"/>
        <w:rPr/>
      </w:pPr>
      <w:r>
        <w:rPr>
          <w:bCs/>
          <w:sz w:val="28"/>
          <w:szCs w:val="28"/>
        </w:rPr>
        <w:t xml:space="preserve">– </w:t>
      </w:r>
      <w:r>
        <w:rPr>
          <w:bCs/>
          <w:sz w:val="28"/>
          <w:szCs w:val="28"/>
        </w:rPr>
        <w:t xml:space="preserve">из 1 604 несовершеннолетних 14-17 лет, состоящих на учете в подразделениях по делам несовершеннолетних, систематическими мероприятиями охвачены 831 человек, единоразовыми посещениями – 970. </w:t>
      </w:r>
    </w:p>
    <w:p>
      <w:pPr>
        <w:pStyle w:val="Normal"/>
        <w:ind w:firstLine="709"/>
        <w:jc w:val="both"/>
        <w:rPr/>
      </w:pPr>
      <w:r>
        <w:rPr>
          <w:bCs/>
          <w:sz w:val="28"/>
          <w:szCs w:val="28"/>
        </w:rPr>
        <w:t xml:space="preserve">Средний показатель систематического охвата подростков, состоящих на учете в подразделениях по делам несовершеннолетних в Республике Татарстан, составляет 52% подростков, находящихся в социально опасном положении – 56%. </w:t>
      </w:r>
    </w:p>
    <w:p>
      <w:pPr>
        <w:pStyle w:val="Normal"/>
        <w:ind w:firstLine="709"/>
        <w:jc w:val="both"/>
        <w:rPr/>
      </w:pPr>
      <w:r>
        <w:rPr>
          <w:bCs/>
          <w:sz w:val="28"/>
          <w:szCs w:val="28"/>
        </w:rPr>
        <w:t>В</w:t>
      </w:r>
      <w:r>
        <w:rPr>
          <w:b/>
          <w:bCs/>
          <w:i/>
          <w:sz w:val="28"/>
          <w:szCs w:val="28"/>
        </w:rPr>
        <w:t xml:space="preserve"> </w:t>
      </w:r>
      <w:r>
        <w:rPr>
          <w:bCs/>
          <w:sz w:val="28"/>
          <w:szCs w:val="28"/>
        </w:rPr>
        <w:t xml:space="preserve">молодежных (подростковых) клубах была организована работа </w:t>
        <w:br/>
        <w:t>1 216 объ</w:t>
      </w:r>
      <w:r>
        <w:rPr>
          <w:bCs/>
          <w:sz w:val="28"/>
          <w:szCs w:val="28"/>
          <w:shd w:fill="auto" w:val="clear"/>
        </w:rPr>
        <w:t xml:space="preserve">единений по интересам, в которых занимались 43 983 человека </w:t>
        <w:br/>
        <w:t>по таким направлениям, как профилактические, патриотические, технические, спортивные, прикладные, художественные и другие.</w:t>
      </w:r>
    </w:p>
    <w:p>
      <w:pPr>
        <w:pStyle w:val="Normal"/>
        <w:ind w:firstLine="709"/>
        <w:jc w:val="both"/>
        <w:rPr>
          <w:highlight w:val="none"/>
          <w:shd w:fill="auto" w:val="clear"/>
        </w:rPr>
      </w:pPr>
      <w:r>
        <w:rPr>
          <w:bCs/>
          <w:sz w:val="28"/>
          <w:szCs w:val="28"/>
          <w:shd w:fill="auto" w:val="clear"/>
        </w:rPr>
        <w:t xml:space="preserve">Подростковыми клубами проведено 24 078 мероприятий с охватом 441 720 человек, а также 7 060 мероприятий в онлайн формате с </w:t>
      </w:r>
      <w:r>
        <w:rPr>
          <w:bCs/>
          <w:sz w:val="28"/>
          <w:szCs w:val="28"/>
          <w:shd w:fill="auto" w:val="clear"/>
        </w:rPr>
        <w:t>общим количеством просмотров</w:t>
      </w:r>
      <w:r>
        <w:rPr>
          <w:bCs/>
          <w:sz w:val="28"/>
          <w:szCs w:val="28"/>
          <w:shd w:fill="auto" w:val="clear"/>
        </w:rPr>
        <w:t xml:space="preserve"> 1 306 449 человек.</w:t>
      </w:r>
    </w:p>
    <w:p>
      <w:pPr>
        <w:pStyle w:val="Normal"/>
        <w:ind w:firstLine="709"/>
        <w:jc w:val="both"/>
        <w:rPr>
          <w:bCs/>
          <w:sz w:val="28"/>
          <w:szCs w:val="28"/>
        </w:rPr>
      </w:pPr>
      <w:r>
        <w:rPr>
          <w:bCs/>
          <w:sz w:val="28"/>
          <w:szCs w:val="28"/>
          <w:shd w:fill="auto" w:val="clear"/>
        </w:rPr>
        <w:t xml:space="preserve">Трудоустройство несовершеннолетних граждан от 14 до 18 лет реализуется на предприятиях и </w:t>
      </w:r>
      <w:r>
        <w:rPr>
          <w:bCs/>
          <w:sz w:val="28"/>
          <w:szCs w:val="28"/>
        </w:rPr>
        <w:t xml:space="preserve">в организациях, имеющих возможность предоставить для них безопасные условия труда. В 2024 году обеспечение различными формами занятости в каникулярный период осуществляет ГБУ «Республиканский центр Студенческих трудовых отрядов», трудоустроено: </w:t>
      </w:r>
    </w:p>
    <w:p>
      <w:pPr>
        <w:pStyle w:val="Normal"/>
        <w:ind w:firstLine="709"/>
        <w:jc w:val="both"/>
        <w:rPr>
          <w:bCs/>
          <w:sz w:val="28"/>
          <w:szCs w:val="28"/>
        </w:rPr>
      </w:pPr>
      <w:r>
        <w:rPr>
          <w:bCs/>
          <w:sz w:val="28"/>
          <w:szCs w:val="28"/>
        </w:rPr>
        <w:t xml:space="preserve">– </w:t>
      </w:r>
      <w:r>
        <w:rPr>
          <w:bCs/>
          <w:sz w:val="28"/>
          <w:szCs w:val="28"/>
        </w:rPr>
        <w:t xml:space="preserve">108 подростков аниматорами дворовых лагерей в г. Заинске в рамках проекта «Лагерь моего двора»; </w:t>
      </w:r>
    </w:p>
    <w:p>
      <w:pPr>
        <w:pStyle w:val="Normal"/>
        <w:ind w:firstLine="709"/>
        <w:jc w:val="both"/>
        <w:rPr>
          <w:bCs/>
          <w:sz w:val="28"/>
          <w:szCs w:val="28"/>
        </w:rPr>
      </w:pPr>
      <w:r>
        <w:rPr>
          <w:bCs/>
          <w:sz w:val="28"/>
          <w:szCs w:val="28"/>
        </w:rPr>
        <w:t xml:space="preserve">– </w:t>
      </w:r>
      <w:r>
        <w:rPr>
          <w:bCs/>
          <w:sz w:val="28"/>
          <w:szCs w:val="28"/>
        </w:rPr>
        <w:t xml:space="preserve">437 подростков в возрасте 16-17 лет в составе Республиканского трудового проекта «Работа СО.Вкусом» в сети предприятий общественного питания «Вкусно – и точка»; </w:t>
      </w:r>
    </w:p>
    <w:p>
      <w:pPr>
        <w:pStyle w:val="Normal"/>
        <w:ind w:firstLine="709"/>
        <w:jc w:val="both"/>
        <w:rPr/>
      </w:pPr>
      <w:r>
        <w:rPr>
          <w:bCs/>
          <w:sz w:val="28"/>
          <w:szCs w:val="28"/>
        </w:rPr>
        <w:t xml:space="preserve">– </w:t>
      </w:r>
      <w:r>
        <w:rPr>
          <w:bCs/>
          <w:sz w:val="28"/>
          <w:szCs w:val="28"/>
        </w:rPr>
        <w:t>300 человек из 13 регионов РФ было трудоустроено на Всероссийском проекте трудовых отрядов подростков «Алабуга ТОП».</w:t>
      </w:r>
    </w:p>
    <w:p>
      <w:pPr>
        <w:pStyle w:val="Normal"/>
        <w:ind w:firstLine="709"/>
        <w:jc w:val="both"/>
        <w:rPr>
          <w:bCs/>
          <w:sz w:val="28"/>
          <w:szCs w:val="28"/>
        </w:rPr>
      </w:pPr>
      <w:r>
        <w:rPr>
          <w:bCs/>
          <w:sz w:val="28"/>
          <w:szCs w:val="28"/>
        </w:rPr>
        <w:t>Активно включены и заинтересованы в вопросах организации занятости</w:t>
        <w:br/>
        <w:t>и трудоустройства несовершеннолетни</w:t>
      </w:r>
      <w:r>
        <w:rPr>
          <w:rFonts w:eastAsia="Calibri" w:eastAsiaTheme="minorHAnsi"/>
          <w:bCs/>
          <w:sz w:val="28"/>
          <w:szCs w:val="28"/>
          <w:shd w:fill="auto" w:val="clear"/>
        </w:rPr>
        <w:t>х органы местного самоуправления –</w:t>
      </w:r>
      <w:r>
        <w:rPr>
          <w:rFonts w:eastAsia="Calibri" w:eastAsiaTheme="minorHAnsi"/>
          <w:bCs/>
          <w:spacing w:val="2"/>
          <w:sz w:val="28"/>
          <w:szCs w:val="28"/>
          <w:shd w:fill="auto" w:val="clear"/>
        </w:rPr>
        <w:t xml:space="preserve"> 5 560</w:t>
      </w:r>
      <w:r>
        <w:rPr>
          <w:bCs/>
          <w:spacing w:val="2"/>
          <w:sz w:val="28"/>
          <w:szCs w:val="28"/>
        </w:rPr>
        <w:t xml:space="preserve"> человек от 14 до 1</w:t>
      </w:r>
      <w:r>
        <w:rPr>
          <w:rFonts w:eastAsia="Calibri" w:cs="Times New Roman" w:eastAsiaTheme="minorHAnsi"/>
          <w:bCs/>
          <w:color w:val="000000"/>
          <w:kern w:val="0"/>
          <w:sz w:val="28"/>
          <w:szCs w:val="28"/>
          <w:shd w:fill="auto" w:val="clear"/>
          <w:lang w:val="ru-RU" w:eastAsia="ru-RU" w:bidi="ar-SA"/>
        </w:rPr>
        <w:t>7 лет  трудоустроены на объектах строительства республиканских программ «Наш двор» и «Парки и скверы», подростки привлекаются к ремонту тротуаров из брусчатки, пешеходных дорожек, установке осветительных приборов, к работе по благоустройству и озеленению территории района, а также в рамках программы «Лагерь моего двора».</w:t>
      </w:r>
    </w:p>
    <w:p>
      <w:pPr>
        <w:pStyle w:val="Normal"/>
        <w:ind w:firstLine="709"/>
        <w:jc w:val="both"/>
        <w:rPr>
          <w:sz w:val="28"/>
        </w:rPr>
      </w:pPr>
      <w:r>
        <w:rPr>
          <w:sz w:val="28"/>
        </w:rPr>
      </w:r>
    </w:p>
    <w:p>
      <w:pPr>
        <w:pStyle w:val="Normal"/>
        <w:ind w:firstLine="709"/>
        <w:jc w:val="both"/>
        <w:rPr/>
      </w:pPr>
      <w:r>
        <w:rPr>
          <w:rFonts w:eastAsia="Times New Roman"/>
          <w:b/>
          <w:color w:val="000000"/>
          <w:sz w:val="28"/>
        </w:rPr>
        <w:t xml:space="preserve">7. «Укрепление духовно-нравственных ценностей молодежи. Реализация проектов, направленных на содействие культурному просвещению, преемственности традиций, сохранение национального культурного кода, </w:t>
        <w:br/>
        <w:t>с охватом не менее 100 тыс. человек»</w:t>
      </w:r>
    </w:p>
    <w:p>
      <w:pPr>
        <w:pStyle w:val="Normal"/>
        <w:ind w:firstLine="709"/>
        <w:jc w:val="both"/>
        <w:rPr>
          <w:rFonts w:eastAsia="Times New Roman"/>
          <w:b/>
          <w:color w:val="000000"/>
          <w:sz w:val="28"/>
        </w:rPr>
      </w:pPr>
      <w:r>
        <w:rPr>
          <w:rFonts w:eastAsia="Times New Roman"/>
          <w:b/>
          <w:color w:val="000000"/>
          <w:sz w:val="28"/>
        </w:rPr>
      </w:r>
    </w:p>
    <w:p>
      <w:pPr>
        <w:pStyle w:val="Normal"/>
        <w:ind w:firstLine="709"/>
        <w:jc w:val="both"/>
        <w:rPr>
          <w:b/>
          <w:i/>
          <w:i/>
          <w:sz w:val="28"/>
        </w:rPr>
      </w:pPr>
      <w:r>
        <w:rPr>
          <w:b/>
          <w:i/>
          <w:sz w:val="28"/>
        </w:rPr>
        <w:t>В проектах, направленных на содействие культурному просвещению, преемственности традиций, сохранение национального культурного кода, приняли участие более 200 тыс. человек.</w:t>
      </w:r>
    </w:p>
    <w:p>
      <w:pPr>
        <w:pStyle w:val="Normal"/>
        <w:ind w:firstLine="709"/>
        <w:jc w:val="both"/>
        <w:rPr>
          <w:b/>
          <w:i/>
          <w:i/>
          <w:sz w:val="28"/>
        </w:rPr>
      </w:pPr>
      <w:r>
        <w:rPr>
          <w:b/>
          <w:i/>
          <w:sz w:val="28"/>
        </w:rPr>
      </w:r>
    </w:p>
    <w:p>
      <w:pPr>
        <w:pStyle w:val="Normal"/>
        <w:ind w:firstLine="709"/>
        <w:jc w:val="both"/>
        <w:rPr>
          <w:sz w:val="28"/>
        </w:rPr>
      </w:pPr>
      <w:r>
        <w:rPr>
          <w:sz w:val="28"/>
        </w:rPr>
        <w:t>Сохранение национального языка и бережное отношение к нему являются основой сохранения национального культурного кода. Участие молодежи</w:t>
        <w:br/>
        <w:t xml:space="preserve">в масштабных проектах дает ей возможность оценить значимость и уникальность своей культуры. </w:t>
      </w:r>
    </w:p>
    <w:p>
      <w:pPr>
        <w:pStyle w:val="Normal"/>
        <w:ind w:firstLine="709"/>
        <w:jc w:val="both"/>
        <w:rPr>
          <w:sz w:val="28"/>
        </w:rPr>
      </w:pPr>
      <w:r>
        <w:rPr>
          <w:sz w:val="28"/>
        </w:rPr>
        <w:t>20 апреля 2024 года состоялась Международная образовательная акция «Тотальный диктант» по русскому языку. В текущем году участие в диктанте приняли 33 773 человека, среди них 606 иностранных студентов. В Республике Татарстан были организованы 1 184 площадки в 45 муниципальных районах и городских округах, из них в г.Казани 195 площадок, где главными стали Культурный центр имени А.С. Пушкина и Институт филологии и межкультурной коммуникации ФГАОУ ВО «Казанский (Приволжский) федеральный университет».</w:t>
      </w:r>
    </w:p>
    <w:p>
      <w:pPr>
        <w:pStyle w:val="Normal"/>
        <w:ind w:firstLine="709"/>
        <w:jc w:val="both"/>
        <w:rPr>
          <w:sz w:val="28"/>
        </w:rPr>
      </w:pPr>
      <w:r>
        <w:rPr>
          <w:sz w:val="28"/>
        </w:rPr>
        <w:t xml:space="preserve">Республиканский фестиваль юношеской и молодёжной прессы «Алтын калям – Золотое перо» является конкурсом, направленным на поддержку талантливой молодежи в области журналистики, работающей на двух государственных языках Республики Татарстан. В 2024 году участниками финального этапа фестиваля стали </w:t>
        <w:br/>
        <w:t xml:space="preserve">75 человек из 19 городов и районов Республики Татарстан по направлениям: печатная журналистика на русском и татарском языках, подкасты и радио, фотожурналистика, телевидение и видеоблогинг, дизайн и верстка, SMM, реклама и связи с общественностью, медиацентры вузов и ссузов. </w:t>
      </w:r>
    </w:p>
    <w:p>
      <w:pPr>
        <w:pStyle w:val="Normal"/>
        <w:ind w:firstLine="709"/>
        <w:jc w:val="both"/>
        <w:rPr>
          <w:sz w:val="28"/>
        </w:rPr>
      </w:pPr>
      <w:r>
        <w:rPr>
          <w:sz w:val="28"/>
        </w:rPr>
        <w:t>В период с 15 по 21 июня совместно с ГБУ «Молодежный центр «Сэлэт» и ТРМФ «Сэлэт» («Талант») проведен XI Межрегиональный форум «Болгар – Туган тел», в котором принимают участие представители регионов России и Татарстана, из стран дальнего и ближнего зарубежья с языковой практикой. Цель профильной смены – привлечение внимания современной молодежи к изучению татарского языка. Участниками стали 400 человек из 10 регионов Российской Федерации (Республика Татарстан, Республика Башкортостан, Самарская область, Кировская область, Республика Марий Эл, Республика Удмуртия, Оренбургская область, Пермский край, Ямало-Ненецкий автономный округ, г.Москва).</w:t>
      </w:r>
    </w:p>
    <w:p>
      <w:pPr>
        <w:pStyle w:val="Normal"/>
        <w:ind w:firstLine="709"/>
        <w:jc w:val="both"/>
        <w:rPr>
          <w:sz w:val="28"/>
        </w:rPr>
      </w:pPr>
      <w:r>
        <w:rPr>
          <w:sz w:val="28"/>
        </w:rPr>
        <w:t xml:space="preserve">20 апреля состоялось награждение победителей XIII Открытого республиканского литературного конкурса «Сәләткә нур булган йолдызлар» («Сәләт зажигает звезды») имени Флюса Латифи. С каждым годом география конкурса расширяется, в 2024 году было представлено 294 работы из 25 районов Республики Татарстан и регионов России, из них 53 участника стали лауреатами и победителями, обладательницей Гран-при – Айлия Хазиева. Молодые писатели представляют свои произведения, получают советы от членов жюри – </w:t>
      </w:r>
      <w:r>
        <w:rPr>
          <w:sz w:val="28"/>
          <w:highlight w:val="white"/>
        </w:rPr>
        <w:t xml:space="preserve">известных татарских писателей, поэтов и журналистов. Для участников </w:t>
      </w:r>
      <w:r>
        <w:rPr>
          <w:sz w:val="28"/>
        </w:rPr>
        <w:t>и их руководителей организованы путешествия по литературной Казани, экскурсии в Дом татарской книги, музей Института филологии и межкультурных коммуникаций ФГАОУ ВО «Казанский (Приволжский) федеральный университет», Клуб «Шарык».</w:t>
      </w:r>
    </w:p>
    <w:p>
      <w:pPr>
        <w:pStyle w:val="Normal"/>
        <w:ind w:firstLine="709"/>
        <w:jc w:val="both"/>
        <w:rPr>
          <w:sz w:val="28"/>
        </w:rPr>
      </w:pPr>
      <w:r>
        <w:rPr>
          <w:sz w:val="28"/>
        </w:rPr>
        <w:t>Преемственности традиций и поколений был посвящен Большой праздничный концерт лауреатов и победителей ежегодного Открытого республиканского телевизионного молодежного фестиваля эстрадного искусства «Созвездие-Йолдызлык» в честь Дня России, который состоялся 12 июня в Казанском Кремле на площади перед мечетью «Кул Шариф». Музыкальная празднично-патриотическая программа была объединена темой любви к городу, республике, стране, семье – главным человеческим ценностям.</w:t>
      </w:r>
    </w:p>
    <w:p>
      <w:pPr>
        <w:pStyle w:val="Normal"/>
        <w:ind w:firstLine="709"/>
        <w:jc w:val="both"/>
        <w:rPr/>
      </w:pPr>
      <w:r>
        <w:rPr>
          <w:sz w:val="28"/>
        </w:rPr>
        <w:t>Республика Татарстан была представлена на финале конкурса «Это у нас семейное» </w:t>
      </w:r>
      <w:hyperlink r:id="rId2">
        <w:r>
          <w:rPr>
            <w:rStyle w:val="ListLabel19"/>
            <w:sz w:val="28"/>
          </w:rPr>
          <w:t>президентской платформы «Россия – страна возможностей»</w:t>
        </w:r>
      </w:hyperlink>
      <w:r>
        <w:rPr>
          <w:sz w:val="28"/>
        </w:rPr>
        <w:t>, который пронизан идеей уважения к истории страны, личного примера крепкой и надежной семьи. Команды семей Газизовых, Радиковых, Шамсуллиных из Республики Татарстан объединяет то, что члены этих семей служат Родине и являются участниками специальной военной операции, и свои победы в полуфиналах семейные команды посвятили бойцам.</w:t>
      </w:r>
    </w:p>
    <w:p>
      <w:pPr>
        <w:pStyle w:val="Normal"/>
        <w:ind w:firstLine="709"/>
        <w:jc w:val="both"/>
        <w:rPr/>
      </w:pPr>
      <w:r>
        <w:rPr>
          <w:sz w:val="28"/>
        </w:rPr>
        <w:t>Специальную награду вручили 250 лауреатам фестиваля «Созвездие-Йолдызлык» – участникам концерта в честь Дня военно-морского флота в городе-герое Севастополе – нагрудный знак «Артист-патриот», который является знаком отличия для молодых исполнителей и признанием их вклада в сохранение культурных и духовных ценностей российского народа. Награда учреждена Союзом офицеров Черноморского флота и Министерством по делам молодежи Республики Татарстан в знак признания и поддержки молодых талантов, чье творчество вдохновляет и поддерживает боевой дух защитников Отечества. </w:t>
      </w:r>
    </w:p>
    <w:p>
      <w:pPr>
        <w:pStyle w:val="Normal"/>
        <w:ind w:firstLine="709"/>
        <w:jc w:val="both"/>
        <w:rPr/>
      </w:pPr>
      <w:r>
        <w:rPr>
          <w:sz w:val="28"/>
        </w:rPr>
        <w:t>30 апреля в ИТ-парке имени Башира Рамеева состоялся музыкальный фестиваль «Станция Мир» в формате аудиовизуального шоу. Проект вдохновлен историей орбитальной станции «Мир». На сцене с живым звуком выступили</w:t>
        <w:br/>
        <w:t xml:space="preserve">13 артистов из разных городов России. Это уникальное аудиовизуальное шоу, представляет собой симбиоз творчества человека, науки и нейросетей. Проект, который делается силами молодых талантов с целью помочь артистам изучить новые грани творчества и открыть их миру, реализуется при поддержке Президентского фонда культурных инициатив и Арт-резиденции RE'ACTOR. </w:t>
      </w:r>
    </w:p>
    <w:p>
      <w:pPr>
        <w:pStyle w:val="Normal"/>
        <w:ind w:firstLine="709"/>
        <w:jc w:val="both"/>
        <w:rPr/>
      </w:pPr>
      <w:r>
        <w:rPr>
          <w:sz w:val="28"/>
          <w:szCs w:val="28"/>
        </w:rPr>
        <w:t xml:space="preserve">С 7 по 22 июня в Республике Татарстан Арт-резиденция </w:t>
      </w:r>
      <w:r>
        <w:rPr>
          <w:sz w:val="28"/>
          <w:szCs w:val="28"/>
          <w:lang w:val="en-US"/>
        </w:rPr>
        <w:t>RE</w:t>
      </w:r>
      <w:r>
        <w:rPr>
          <w:rFonts w:ascii="Helvetica" w:hAnsi="Helvetica"/>
          <w:color w:val="0C0D0D"/>
          <w:shd w:fill="FFFFFF" w:val="clear"/>
        </w:rPr>
        <w:t>’</w:t>
      </w:r>
      <w:r>
        <w:rPr>
          <w:sz w:val="28"/>
          <w:szCs w:val="28"/>
          <w:lang w:val="en-US"/>
        </w:rPr>
        <w:t>ACTOR</w:t>
      </w:r>
      <w:r>
        <w:rPr>
          <w:sz w:val="28"/>
          <w:szCs w:val="28"/>
        </w:rPr>
        <w:t xml:space="preserve"> совместно с музыкальным фестивалем «Станция Мир» запустили музыкальный тур «</w:t>
      </w:r>
      <w:r>
        <w:rPr>
          <w:color w:val="0C0D0D"/>
          <w:sz w:val="28"/>
          <w:szCs w:val="28"/>
          <w:shd w:fill="FFFFFF" w:val="clear"/>
        </w:rPr>
        <w:t>R</w:t>
      </w:r>
      <w:r>
        <w:rPr>
          <w:color w:val="0C0D0D"/>
          <w:sz w:val="28"/>
          <w:szCs w:val="28"/>
          <w:shd w:fill="FFFFFF" w:val="clear"/>
          <w:lang w:val="en-US"/>
        </w:rPr>
        <w:t>EAC</w:t>
      </w:r>
      <w:r>
        <w:rPr>
          <w:color w:val="0C0D0D"/>
          <w:sz w:val="28"/>
          <w:szCs w:val="28"/>
          <w:shd w:fill="FFFFFF" w:val="clear"/>
        </w:rPr>
        <w:t>tour», который прошел в 6 городах Республики Татарстан: Альметьевск, Буинск, Заинск, Лаишево, Набережные Челны, Казань.</w:t>
      </w:r>
    </w:p>
    <w:p>
      <w:pPr>
        <w:pStyle w:val="Normal"/>
        <w:ind w:firstLine="709"/>
        <w:jc w:val="both"/>
        <w:rPr/>
      </w:pPr>
      <w:r>
        <w:rPr>
          <w:color w:val="0C0D0D"/>
          <w:sz w:val="28"/>
          <w:szCs w:val="28"/>
          <w:shd w:fill="FFFFFF" w:val="clear"/>
        </w:rPr>
        <w:t xml:space="preserve">В рамках тура зрители могли принять участие в интерактивах и увидеть живое выступление артистов. Целью тура стала популяризация музыкального искусства и поддержка молодых талантов, а также создание платформы для творческого обмена молодых артистов. Музыкальный тур прошел в рамках заявочной кампании на программу поддержки. Это образовательная программа для творческой молодежи, создающей креативные проекты, продукты и мероприятия. </w:t>
      </w:r>
    </w:p>
    <w:p>
      <w:pPr>
        <w:pStyle w:val="Normal"/>
        <w:ind w:firstLine="709"/>
        <w:jc w:val="both"/>
        <w:rPr/>
      </w:pPr>
      <w:r>
        <w:rPr>
          <w:sz w:val="28"/>
        </w:rPr>
        <w:t xml:space="preserve">24 июня в селе Билярск Алексеевского муниципального района дан старт Международному молодежному образовательному форуму «Сәләт», который традиционно проходит в формате шести смен. Участниками форума являются талантливые ребята – учащиеся общеобразовательных школ, студенты вузов и организаций профессионального образования – победители и участники республиканских предметных олимпиад, творческих конкурсов, смотров, фестивалей, научных конференций и спортивных соревнований, лидеры детских и молодежных республиканских и общероссийских общественных организаций, известные деятели науки, культуры и искусства, выдающиеся общественные деятели. </w:t>
      </w:r>
    </w:p>
    <w:p>
      <w:pPr>
        <w:pStyle w:val="Normal"/>
        <w:ind w:firstLine="709"/>
        <w:jc w:val="both"/>
        <w:rPr/>
      </w:pPr>
      <w:r>
        <w:rPr>
          <w:sz w:val="28"/>
        </w:rPr>
        <w:t>22 и 23 июня в с.Альвидино Пестречинского района Республики Татарстан прошел VI Всероссийский фестиваль исторический реконструкции «Әлбәдән – 2024». В рамках фестиваля воссоздано 3 реконструкции:</w:t>
      </w:r>
    </w:p>
    <w:p>
      <w:pPr>
        <w:pStyle w:val="Normal"/>
        <w:ind w:firstLine="709"/>
        <w:jc w:val="both"/>
        <w:rPr/>
      </w:pPr>
      <w:r>
        <w:rPr>
          <w:sz w:val="28"/>
        </w:rPr>
        <w:t xml:space="preserve">– </w:t>
      </w:r>
      <w:r>
        <w:rPr>
          <w:sz w:val="28"/>
        </w:rPr>
        <w:t>«Нападение»: на берегу реки Мёша воссозданы первые часы начала войны, форсирование войсками Вермахта реки Западный Буг и нападение на спящий гарнизон Брестской крепости;</w:t>
      </w:r>
    </w:p>
    <w:p>
      <w:pPr>
        <w:pStyle w:val="Normal"/>
        <w:ind w:firstLine="709"/>
        <w:jc w:val="both"/>
        <w:rPr/>
      </w:pPr>
      <w:r>
        <w:rPr>
          <w:sz w:val="28"/>
        </w:rPr>
        <w:t xml:space="preserve">– </w:t>
      </w:r>
      <w:r>
        <w:rPr>
          <w:sz w:val="28"/>
        </w:rPr>
        <w:t>«Легенда о Брестской крепости»: на центральной площадке реконструированы события первых дней обороны Брестской крепости;</w:t>
      </w:r>
    </w:p>
    <w:p>
      <w:pPr>
        <w:pStyle w:val="Normal"/>
        <w:ind w:firstLine="709"/>
        <w:jc w:val="both"/>
        <w:rPr/>
      </w:pPr>
      <w:r>
        <w:rPr>
          <w:sz w:val="28"/>
        </w:rPr>
        <w:t xml:space="preserve">– </w:t>
      </w:r>
      <w:r>
        <w:rPr>
          <w:sz w:val="28"/>
        </w:rPr>
        <w:t>«Операция «Багратион». Освобождение» – воссоздание самой масштабной военной операции Красной Армии, которая привела к Победе в Великой Отечественной войне.</w:t>
      </w:r>
    </w:p>
    <w:p>
      <w:pPr>
        <w:pStyle w:val="Normal"/>
        <w:ind w:firstLine="709"/>
        <w:jc w:val="both"/>
        <w:rPr/>
      </w:pPr>
      <w:r>
        <w:rPr>
          <w:sz w:val="28"/>
        </w:rPr>
        <w:t xml:space="preserve">В мероприятии приняли участие 350 реконструкторов из военно-исторических клубов г.Москвы, Московской обл., Санкт-Петербурга, Воронежа, Волгограда, Оренбурга, Сыктывкара, Саратова, Самары, Тольятти и стран Китая и Польши. </w:t>
      </w:r>
    </w:p>
    <w:p>
      <w:pPr>
        <w:pStyle w:val="Normal"/>
        <w:ind w:firstLine="709"/>
        <w:jc w:val="both"/>
        <w:rPr/>
      </w:pPr>
      <w:r>
        <w:rPr>
          <w:sz w:val="28"/>
          <w:szCs w:val="28"/>
        </w:rPr>
        <w:t xml:space="preserve">29 июня в Казани прошел День молодежи, который проводился при поддержке Федерального агентства по делам молодежи (Росмолодежь), Правительства Республики Татарстан и Министерства по делам молодежи Республики Татарстан на площадке молодежного экстрим-парка «УРАМ» в формате масштабного фестиваля. В рамках фестиваля прошли соревнования по уличным видам спорта, танцевальный фестиваль, лекции и мастер-классы, выступили локальные артисты и диджеи, а также исполнители, подавшие заявки. Молодые предприниматели имели возможность презентовать свои бренды на маркете. </w:t>
        <w:br/>
        <w:t>В мероприятии приняли участие более 50 тысяч человек со всей Республики Татарстан.</w:t>
      </w:r>
    </w:p>
    <w:p>
      <w:pPr>
        <w:pStyle w:val="Normal"/>
        <w:ind w:firstLine="709"/>
        <w:jc w:val="both"/>
        <w:rPr/>
      </w:pPr>
      <w:r>
        <w:rPr>
          <w:sz w:val="28"/>
          <w:szCs w:val="28"/>
        </w:rPr>
        <w:t xml:space="preserve">7 июля Молодежный центр «ПОРТ» провел семейный фестиваль «ГИМН СЕМЬЕ» в Раифском Богородицком монастыре. В преддверии фестиваля были проведены районные лектории с психологами для молодых семей на темы детско-родительских отношений, выступление победителей конкурса семейного творчества на главной сцене, мастер-классы, угощения для жителей города Зеленодольск, </w:t>
        <w:br/>
        <w:t>а также большой концерт. В мероприятии приняли участие более 2 тысяч человек. Фестиваль реализуется при поддержке Министерства по делам молодежи в рамках грантового конкурса для учреждений молодежной политики муниципальных образований Республики Татарстан.</w:t>
      </w:r>
    </w:p>
    <w:p>
      <w:pPr>
        <w:pStyle w:val="Normal"/>
        <w:ind w:firstLine="709"/>
        <w:jc w:val="both"/>
        <w:rPr/>
      </w:pPr>
      <w:r>
        <w:rPr>
          <w:sz w:val="28"/>
          <w:szCs w:val="28"/>
        </w:rPr>
        <w:t xml:space="preserve">С 21 сентября по 13 октября в Казани прошел Всероссийский фестиваль креативных индустрий </w:t>
      </w:r>
      <w:r>
        <w:rPr>
          <w:sz w:val="28"/>
          <w:szCs w:val="28"/>
          <w:lang w:val="en-US"/>
        </w:rPr>
        <w:t>RE</w:t>
      </w:r>
      <w:r>
        <w:rPr>
          <w:rFonts w:ascii="Helvetica" w:hAnsi="Helvetica"/>
          <w:color w:val="0C0D0D"/>
          <w:shd w:fill="FFFFFF" w:val="clear"/>
        </w:rPr>
        <w:t>’</w:t>
      </w:r>
      <w:r>
        <w:rPr>
          <w:sz w:val="28"/>
          <w:szCs w:val="28"/>
          <w:lang w:val="en-US"/>
        </w:rPr>
        <w:t>ACTOR</w:t>
      </w:r>
      <w:r>
        <w:rPr>
          <w:sz w:val="28"/>
          <w:szCs w:val="28"/>
        </w:rPr>
        <w:t xml:space="preserve"> </w:t>
      </w:r>
      <w:r>
        <w:rPr>
          <w:sz w:val="28"/>
          <w:szCs w:val="28"/>
          <w:lang w:val="en-US"/>
        </w:rPr>
        <w:t>FEST</w:t>
      </w:r>
      <w:r>
        <w:rPr>
          <w:sz w:val="28"/>
          <w:szCs w:val="28"/>
        </w:rPr>
        <w:t xml:space="preserve">. Проект является одним из мероприятий программы «Регион для молодых», который реализуется в рамках национального проекта «Образование» при поддержке Федерального агентства по делам молодежи и Министерства по делам молодежи Республики Татарстан, а также Федеральной сети арт-резиденций «Таврида.АРТ». Фестиваль стал финальным этапом программы поддержки от арт-резиденций </w:t>
      </w:r>
      <w:r>
        <w:rPr>
          <w:sz w:val="28"/>
          <w:szCs w:val="28"/>
          <w:lang w:val="en-US"/>
        </w:rPr>
        <w:t>RE</w:t>
      </w:r>
      <w:r>
        <w:rPr>
          <w:rFonts w:ascii="Helvetica" w:hAnsi="Helvetica"/>
          <w:color w:val="0C0D0D"/>
          <w:shd w:fill="FFFFFF" w:val="clear"/>
        </w:rPr>
        <w:t>’</w:t>
      </w:r>
      <w:r>
        <w:rPr>
          <w:sz w:val="28"/>
          <w:szCs w:val="28"/>
          <w:lang w:val="en-US"/>
        </w:rPr>
        <w:t>ACTOR</w:t>
      </w:r>
      <w:r>
        <w:rPr>
          <w:sz w:val="28"/>
          <w:szCs w:val="28"/>
        </w:rPr>
        <w:t>. В рамках фестиваля прошел показ документального фильма, выставка предметов интерьера для будущих пространств ДК Химиков, 15 перформансов на разные темы от участников лаборатории «Искусство перформанса», показ апсайкл-коллекции и мерча фестиваля, а также выставка инсталляций на основе детских воспоминаний.</w:t>
      </w:r>
    </w:p>
    <w:p>
      <w:pPr>
        <w:pStyle w:val="Normal"/>
        <w:ind w:firstLine="709"/>
        <w:jc w:val="both"/>
        <w:rPr/>
      </w:pPr>
      <w:r>
        <w:rPr>
          <w:sz w:val="28"/>
          <w:szCs w:val="28"/>
        </w:rPr>
        <w:t>Со 2 октября по 19 декабря была проведена заявочная кампания на конкурс по присуждению Республиканской премию имени Мусы Джалиля. Данная премия присуждается талантливым представителям молодежи Республики Татарстан за личный вклад в развитие искусства, науки, образования, воспитания, а также за высокие достижения в области молодежного предпринимательства и реализации молодежных программ. Премия присуждается один раз в два года четырем лауреатам в возрасте до 35 лет, а также группе авторов, 70% которой составляет молодежь в возрасте до 35 лет. В феврале 2025 года состоится награждение лауреатов Республиканской премии имени Мусы Джалиля.</w:t>
      </w:r>
    </w:p>
    <w:p>
      <w:pPr>
        <w:pStyle w:val="Normal"/>
        <w:ind w:firstLine="709"/>
        <w:jc w:val="both"/>
        <w:rPr/>
      </w:pPr>
      <w:r>
        <w:rPr>
          <w:sz w:val="28"/>
          <w:szCs w:val="28"/>
        </w:rPr>
        <w:t>27 октября Молодежный центр «ПОРТ» провел Фестиваль мусульманской культуры «Исламский мир», который прошел в г. Зеленодольске. Целью фестиваля стало знакомство с культурой и обычаями мусульманских народов мира, распространение информации о культуре исламских народов, ее уникальности и многообразии. В рамках фестиваля прошла концертная программа (театр, хореография, музыка и пр.), мастер-классы по каллиграфии и изобразительному искусству, демонстрация современной мусульманской одежды, традиционное татарское чаепитие, встреча с деятелями религии и культуры, а также культурный обмен между участниками.</w:t>
      </w:r>
    </w:p>
    <w:p>
      <w:pPr>
        <w:pStyle w:val="Normal"/>
        <w:ind w:firstLine="709"/>
        <w:jc w:val="both"/>
        <w:rPr/>
      </w:pPr>
      <w:r>
        <w:rPr>
          <w:sz w:val="28"/>
        </w:rPr>
        <w:t xml:space="preserve">В 2024 году органами по делам молодежи и учреждениями молодежной политики 34 муниципальных образований Республики Татарстан проведено </w:t>
        <w:br/>
        <w:t>376 мероприятий, посвященных празднованию 79-й годовщины Победы в Великой Отечественной войне 1941-1945 годов, с охватом 95 530 человек.</w:t>
      </w:r>
    </w:p>
    <w:p>
      <w:pPr>
        <w:pStyle w:val="Normal"/>
        <w:ind w:firstLine="709"/>
        <w:jc w:val="both"/>
        <w:rPr/>
      </w:pPr>
      <w:r>
        <w:rPr>
          <w:sz w:val="28"/>
        </w:rPr>
        <w:t xml:space="preserve">В рамках Дня России органами по делам молодежи и учреждениями, осуществляющими деятельность в сфере молодежной политики 32 муниципальных образований Республики Татарстан, проведено 220 мероприятий с охватом </w:t>
        <w:br/>
        <w:t xml:space="preserve">27 216 человек. </w:t>
      </w:r>
    </w:p>
    <w:p>
      <w:pPr>
        <w:pStyle w:val="Normal"/>
        <w:ind w:firstLine="709"/>
        <w:jc w:val="both"/>
        <w:rPr/>
      </w:pPr>
      <w:r>
        <w:rPr>
          <w:sz w:val="28"/>
        </w:rPr>
        <w:t xml:space="preserve">Ежегодно в ночь с 21 на 22 июня на территории парков и скверов Республики Татарстан проходит Международная акция «Огненные картины войны». Активисты выкладывают из свечей памятные картины. В 2024 году акция прошла </w:t>
        <w:br/>
        <w:t xml:space="preserve">в 4 муниципальных образованиях Республики Татарстан, в Церемонии зажжения свечей приняло участие более 500 человек. </w:t>
      </w:r>
    </w:p>
    <w:p>
      <w:pPr>
        <w:pStyle w:val="Normal"/>
        <w:ind w:firstLine="709"/>
        <w:jc w:val="both"/>
        <w:rPr/>
      </w:pPr>
      <w:r>
        <w:rPr>
          <w:sz w:val="28"/>
        </w:rPr>
        <w:t>В рамках Дня народного единства в муниципальных образованиях было проведено 59 мероприятий, среди которых: тематические фестивали, этнографический диктант, Фотовыставка «Народов много – Родина одна», Ночь искусств, «Разговоры о важном», круглые столы и обсуждения на тему исторической значимости единства и культуры разных народов, волонтерские инициативы и иные мероприятия.</w:t>
      </w:r>
    </w:p>
    <w:p>
      <w:pPr>
        <w:pStyle w:val="Normal"/>
        <w:ind w:firstLine="709"/>
        <w:jc w:val="both"/>
        <w:rPr/>
      </w:pPr>
      <w:r>
        <w:rPr>
          <w:sz w:val="28"/>
        </w:rPr>
        <w:t xml:space="preserve">14 сентября в рамках фестиваля «Мозаика культур» прошел молодежный шатровый парк культур и диалога «Мой дом –Моя Республика». </w:t>
      </w:r>
    </w:p>
    <w:p>
      <w:pPr>
        <w:pStyle w:val="Normal"/>
        <w:ind w:firstLine="709"/>
        <w:jc w:val="both"/>
        <w:rPr/>
      </w:pPr>
      <w:r>
        <w:rPr>
          <w:sz w:val="28"/>
        </w:rPr>
        <w:t>К мероприятию были подготовлены 14 тематических шатров, где расположились представители русских, татарских, башкирских, удмуртских, чувашских, таджикских, узбекских, киргизских и многих других народов, которые представляли свою культуру с помощью декоративно-прикладного творчества.  Русский народный шатер был оформлен совместно с Русским национально-культурным объединением, в нем проводились экскурсии в виртуальной реальности по селу Никольское, в котором ежегодно проходит всероссийский народный праздник «Каравон». За весь фестиваль общий охват посетителей проекта «Молодежный шатровый парк» составил более 4 000 человек.</w:t>
      </w:r>
    </w:p>
    <w:p>
      <w:pPr>
        <w:pStyle w:val="Normal"/>
        <w:ind w:firstLine="709"/>
        <w:jc w:val="both"/>
        <w:rPr/>
      </w:pPr>
      <w:r>
        <w:rPr>
          <w:sz w:val="28"/>
          <w:szCs w:val="28"/>
          <w:lang w:eastAsia="en-US"/>
        </w:rPr>
        <w:t xml:space="preserve">Также Молодежным центром «Идель» был организован ряд мероприятий </w:t>
        <w:br/>
        <w:t xml:space="preserve">с общим охватом 1 170 человек. </w:t>
      </w:r>
    </w:p>
    <w:p>
      <w:pPr>
        <w:pStyle w:val="Normal"/>
        <w:ind w:firstLine="709"/>
        <w:jc w:val="both"/>
        <w:rPr/>
      </w:pPr>
      <w:r>
        <w:rPr>
          <w:sz w:val="28"/>
          <w:szCs w:val="28"/>
          <w:lang w:eastAsia="en-US"/>
        </w:rPr>
        <w:t>Проведены мероприятия с участ</w:t>
      </w:r>
      <w:r>
        <w:rPr>
          <w:rFonts w:eastAsia="Calibri"/>
          <w:sz w:val="28"/>
          <w:szCs w:val="28"/>
          <w:lang w:eastAsia="en-US"/>
        </w:rPr>
        <w:t>ием детей из других регионов России:</w:t>
      </w:r>
    </w:p>
    <w:p>
      <w:pPr>
        <w:pStyle w:val="Normal"/>
        <w:ind w:firstLine="709"/>
        <w:jc w:val="both"/>
        <w:rPr/>
      </w:pPr>
      <w:r>
        <w:rPr>
          <w:rFonts w:eastAsia="Calibri"/>
          <w:sz w:val="28"/>
          <w:szCs w:val="28"/>
          <w:lang w:eastAsia="en-US"/>
        </w:rPr>
        <w:t xml:space="preserve">– </w:t>
      </w:r>
      <w:r>
        <w:rPr>
          <w:rFonts w:eastAsia="Calibri"/>
          <w:sz w:val="28"/>
          <w:szCs w:val="28"/>
          <w:lang w:eastAsia="en-US"/>
        </w:rPr>
        <w:t>детская профильная смена «Милләтебез хәзинәләре» – «Сокровища нации» (203 ребенка из 26 регионов РФ);</w:t>
      </w:r>
    </w:p>
    <w:p>
      <w:pPr>
        <w:pStyle w:val="Normal"/>
        <w:ind w:firstLine="709"/>
        <w:jc w:val="both"/>
        <w:rPr/>
      </w:pPr>
      <w:r>
        <w:rPr>
          <w:rFonts w:eastAsia="Calibri"/>
          <w:sz w:val="28"/>
          <w:szCs w:val="28"/>
          <w:lang w:eastAsia="en-US"/>
        </w:rPr>
        <w:t xml:space="preserve">– </w:t>
      </w:r>
      <w:r>
        <w:rPr>
          <w:rFonts w:eastAsia="Calibri"/>
          <w:sz w:val="28"/>
          <w:szCs w:val="28"/>
          <w:lang w:eastAsia="en-US"/>
        </w:rPr>
        <w:t xml:space="preserve">татарская детская школа лидера «Асыл» (88 подростков из 21 региона РФ); </w:t>
      </w:r>
    </w:p>
    <w:p>
      <w:pPr>
        <w:pStyle w:val="Normal"/>
        <w:ind w:firstLine="709"/>
        <w:jc w:val="both"/>
        <w:rPr/>
      </w:pPr>
      <w:r>
        <w:rPr>
          <w:rFonts w:eastAsia="Calibri"/>
          <w:sz w:val="28"/>
          <w:szCs w:val="28"/>
          <w:lang w:eastAsia="en-US"/>
        </w:rPr>
        <w:t xml:space="preserve">– </w:t>
      </w:r>
      <w:r>
        <w:rPr>
          <w:rFonts w:eastAsia="Calibri"/>
          <w:sz w:val="28"/>
          <w:szCs w:val="28"/>
          <w:lang w:eastAsia="en-US"/>
        </w:rPr>
        <w:t>школа блогинга «Заман» (30 делегатов из 14 регионов РФ);</w:t>
      </w:r>
    </w:p>
    <w:p>
      <w:pPr>
        <w:pStyle w:val="Normal"/>
        <w:ind w:firstLine="709"/>
        <w:jc w:val="both"/>
        <w:rPr/>
      </w:pPr>
      <w:r>
        <w:rPr>
          <w:rFonts w:eastAsia="Calibri"/>
          <w:sz w:val="28"/>
          <w:szCs w:val="28"/>
          <w:lang w:eastAsia="en-US"/>
        </w:rPr>
        <w:t xml:space="preserve">– </w:t>
      </w:r>
      <w:r>
        <w:rPr>
          <w:rFonts w:eastAsia="Calibri"/>
          <w:sz w:val="28"/>
          <w:szCs w:val="28"/>
          <w:lang w:eastAsia="en-US"/>
        </w:rPr>
        <w:t>форум «Дни татарской молодежи» (150 делегатов из 27 регионов РФ);</w:t>
      </w:r>
    </w:p>
    <w:p>
      <w:pPr>
        <w:pStyle w:val="Normal"/>
        <w:ind w:firstLine="709"/>
        <w:jc w:val="both"/>
        <w:rPr/>
      </w:pPr>
      <w:r>
        <w:rPr>
          <w:rFonts w:eastAsia="Calibri"/>
          <w:sz w:val="28"/>
          <w:szCs w:val="28"/>
          <w:lang w:eastAsia="en-US"/>
        </w:rPr>
        <w:t xml:space="preserve">– </w:t>
      </w:r>
      <w:r>
        <w:rPr>
          <w:rFonts w:eastAsia="Calibri"/>
          <w:sz w:val="28"/>
          <w:szCs w:val="28"/>
          <w:lang w:eastAsia="en-US"/>
        </w:rPr>
        <w:t>конкурс молодых татарских писателей «Иделем акчарлагы» – «Волжская чайка» (поступили 72 заявки из 10 регионов РФ и Республики Казахстан);</w:t>
      </w:r>
    </w:p>
    <w:p>
      <w:pPr>
        <w:pStyle w:val="Normal"/>
        <w:ind w:firstLine="709"/>
        <w:jc w:val="both"/>
        <w:rPr/>
      </w:pPr>
      <w:r>
        <w:rPr>
          <w:rFonts w:eastAsia="Calibri"/>
          <w:sz w:val="28"/>
          <w:szCs w:val="28"/>
          <w:lang w:eastAsia="en-US"/>
        </w:rPr>
        <w:t xml:space="preserve">– </w:t>
      </w:r>
      <w:r>
        <w:rPr>
          <w:rFonts w:eastAsia="Calibri"/>
          <w:sz w:val="28"/>
          <w:szCs w:val="28"/>
          <w:lang w:eastAsia="en-US"/>
        </w:rPr>
        <w:t>школа лидера татарской молодежи «Максат» (43 делегата из 17 регионов РФ).</w:t>
      </w:r>
    </w:p>
    <w:p>
      <w:pPr>
        <w:pStyle w:val="Normal"/>
        <w:ind w:firstLine="709"/>
        <w:jc w:val="both"/>
        <w:rPr>
          <w:strike/>
          <w:highlight w:val="yellow"/>
        </w:rPr>
      </w:pPr>
      <w:r>
        <w:rPr>
          <w:strike/>
          <w:highlight w:val="yellow"/>
        </w:rPr>
      </w:r>
    </w:p>
    <w:p>
      <w:pPr>
        <w:pStyle w:val="Normal"/>
        <w:ind w:firstLine="709"/>
        <w:rPr>
          <w:rFonts w:eastAsia="Times New Roman"/>
          <w:b/>
          <w:color w:val="000000"/>
          <w:sz w:val="28"/>
        </w:rPr>
      </w:pPr>
      <w:r>
        <w:rPr>
          <w:rFonts w:eastAsia="Times New Roman"/>
          <w:b/>
          <w:color w:val="000000"/>
          <w:sz w:val="28"/>
        </w:rPr>
      </w:r>
    </w:p>
    <w:p>
      <w:pPr>
        <w:pStyle w:val="Normal"/>
        <w:ind w:firstLine="709"/>
        <w:rPr>
          <w:rFonts w:eastAsia="Times New Roman"/>
          <w:b/>
          <w:color w:val="000000"/>
          <w:sz w:val="28"/>
        </w:rPr>
      </w:pPr>
      <w:r>
        <w:rPr>
          <w:rFonts w:eastAsia="Times New Roman"/>
          <w:b/>
          <w:color w:val="000000"/>
          <w:sz w:val="28"/>
        </w:rPr>
      </w:r>
    </w:p>
    <w:p>
      <w:pPr>
        <w:pStyle w:val="Normal"/>
        <w:ind w:firstLine="709"/>
        <w:rPr>
          <w:rFonts w:eastAsia="Times New Roman"/>
          <w:b/>
          <w:color w:val="000000"/>
          <w:sz w:val="28"/>
        </w:rPr>
      </w:pPr>
      <w:r>
        <w:rPr>
          <w:rFonts w:eastAsia="Times New Roman"/>
          <w:b/>
          <w:color w:val="000000"/>
          <w:sz w:val="28"/>
        </w:rPr>
      </w:r>
    </w:p>
    <w:p>
      <w:pPr>
        <w:pStyle w:val="Normal"/>
        <w:ind w:firstLine="709"/>
        <w:rPr>
          <w:rFonts w:eastAsia="Times New Roman"/>
          <w:b/>
          <w:color w:val="000000"/>
          <w:sz w:val="28"/>
        </w:rPr>
      </w:pPr>
      <w:r>
        <w:rPr>
          <w:rFonts w:eastAsia="Times New Roman"/>
          <w:b/>
          <w:color w:val="000000"/>
          <w:sz w:val="28"/>
        </w:rPr>
      </w:r>
    </w:p>
    <w:p>
      <w:pPr>
        <w:pStyle w:val="Normal"/>
        <w:ind w:firstLine="709"/>
        <w:rPr>
          <w:rFonts w:eastAsia="Times New Roman"/>
          <w:b/>
          <w:color w:val="000000"/>
          <w:sz w:val="28"/>
        </w:rPr>
      </w:pPr>
      <w:r>
        <w:rPr>
          <w:rFonts w:eastAsia="Times New Roman"/>
          <w:b/>
          <w:color w:val="000000"/>
          <w:sz w:val="28"/>
        </w:rPr>
      </w:r>
    </w:p>
    <w:p>
      <w:pPr>
        <w:pStyle w:val="Normal"/>
        <w:ind w:firstLine="709"/>
        <w:rPr>
          <w:rFonts w:eastAsia="Times New Roman"/>
          <w:b/>
          <w:color w:val="000000"/>
          <w:sz w:val="28"/>
        </w:rPr>
      </w:pPr>
      <w:r>
        <w:rPr>
          <w:rFonts w:eastAsia="Times New Roman"/>
          <w:b/>
          <w:color w:val="000000"/>
          <w:sz w:val="28"/>
        </w:rPr>
      </w:r>
    </w:p>
    <w:p>
      <w:pPr>
        <w:pStyle w:val="Normal"/>
        <w:ind w:firstLine="709"/>
        <w:rPr>
          <w:rFonts w:eastAsia="Times New Roman"/>
          <w:b/>
          <w:color w:val="000000"/>
          <w:sz w:val="28"/>
        </w:rPr>
      </w:pPr>
      <w:r>
        <w:rPr>
          <w:rFonts w:eastAsia="Times New Roman"/>
          <w:b/>
          <w:color w:val="000000"/>
          <w:sz w:val="28"/>
        </w:rPr>
      </w:r>
    </w:p>
    <w:p>
      <w:pPr>
        <w:pStyle w:val="Normal"/>
        <w:ind w:firstLine="709"/>
        <w:rPr>
          <w:rFonts w:eastAsia="Times New Roman"/>
          <w:b/>
          <w:color w:val="000000"/>
          <w:sz w:val="28"/>
        </w:rPr>
      </w:pPr>
      <w:r>
        <w:rPr>
          <w:rFonts w:eastAsia="Times New Roman"/>
          <w:b/>
          <w:color w:val="000000"/>
          <w:sz w:val="28"/>
        </w:rPr>
      </w:r>
    </w:p>
    <w:sectPr>
      <w:headerReference w:type="default" r:id="rId3"/>
      <w:type w:val="nextPage"/>
      <w:pgSz w:w="11906" w:h="16838"/>
      <w:pgMar w:left="1134" w:right="567" w:gutter="0" w:header="709" w:top="1135" w:footer="0"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Segoe UI">
    <w:charset w:val="01"/>
    <w:family w:val="roman"/>
    <w:pitch w:val="default"/>
  </w:font>
  <w:font w:name="PT Astra Serif">
    <w:charset w:val="01"/>
    <w:family w:val="roman"/>
    <w:pitch w:val="default"/>
  </w:font>
  <w:font w:name="Tahoma">
    <w:charset w:val="01"/>
    <w:family w:val="roman"/>
    <w:pitch w:val="default"/>
  </w:font>
  <w:font w:name="PT Astra Serif">
    <w:altName w:val="Times New Roman"/>
    <w:charset w:val="01"/>
    <w:family w:val="roman"/>
    <w:pitch w:val="default"/>
  </w:font>
  <w:font w:name="Helvetica">
    <w:altName w:val="Arial"/>
    <w:charset w:val="01"/>
    <w:family w:val="roman"/>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20503736"/>
    </w:sdtPr>
    <w:sdtContent>
      <w:p>
        <w:pPr>
          <w:pStyle w:val="Header"/>
          <w:jc w:val="center"/>
          <w:rPr/>
        </w:pPr>
        <w:r>
          <w:rPr/>
          <w:fldChar w:fldCharType="begin"/>
        </w:r>
        <w:r>
          <w:rPr/>
          <w:instrText xml:space="preserve"> PAGE </w:instrText>
        </w:r>
        <w:r>
          <w:rPr/>
          <w:fldChar w:fldCharType="separate"/>
        </w:r>
        <w:r>
          <w:rPr/>
          <w:t>21</w:t>
        </w:r>
        <w:r>
          <w:rPr/>
          <w:fldChar w:fldCharType="end"/>
        </w:r>
      </w:p>
    </w:sdtContent>
  </w:sdt>
  <w:p>
    <w:pPr>
      <w:pStyle w:val="Header"/>
      <w:rPr>
        <w:sz w:val="28"/>
      </w:rPr>
    </w:pPr>
    <w:r>
      <w:rPr>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1"/>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76b1a"/>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basedOn w:val="DefaultParagraphFont"/>
    <w:uiPriority w:val="99"/>
    <w:qFormat/>
    <w:rPr/>
  </w:style>
  <w:style w:type="character" w:styleId="FooterChar" w:customStyle="1">
    <w:name w:val="Footer Char"/>
    <w:basedOn w:val="DefaultParagraphFont"/>
    <w:uiPriority w:val="99"/>
    <w:qFormat/>
    <w:rPr/>
  </w:style>
  <w:style w:type="character" w:styleId="Style9" w:customStyle="1">
    <w:name w:val="Нижний колонтитул Знак"/>
    <w:uiPriority w:val="99"/>
    <w:qFormat/>
    <w:rPr/>
  </w:style>
  <w:style w:type="character" w:styleId="Style10" w:customStyle="1">
    <w:name w:val="Текст сноски Знак"/>
    <w:uiPriority w:val="99"/>
    <w:qFormat/>
    <w:rPr>
      <w:sz w:val="18"/>
    </w:rPr>
  </w:style>
  <w:style w:type="character" w:styleId="Style11" w:customStyle="1">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uiPriority w:val="99"/>
    <w:qFormat/>
    <w:rPr>
      <w:sz w:val="20"/>
    </w:rPr>
  </w:style>
  <w:style w:type="character" w:styleId="Style13" w:customStyle="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Emphasis">
    <w:name w:val="Emphasis"/>
    <w:qFormat/>
    <w:rPr>
      <w:i/>
    </w:rPr>
  </w:style>
  <w:style w:type="character" w:styleId="Style14" w:customStyle="1">
    <w:name w:val="Текст выноски Знак"/>
    <w:basedOn w:val="DefaultParagraphFont"/>
    <w:link w:val="BalloonText"/>
    <w:uiPriority w:val="99"/>
    <w:semiHidden/>
    <w:qFormat/>
    <w:rPr>
      <w:rFonts w:ascii="Segoe UI" w:hAnsi="Segoe UI" w:eastAsia="Calibri" w:cs="Segoe UI"/>
      <w:sz w:val="18"/>
      <w:szCs w:val="18"/>
      <w:lang w:eastAsia="ru-RU"/>
    </w:rPr>
  </w:style>
  <w:style w:type="character" w:styleId="Hyperlink">
    <w:name w:val="Hyperlink"/>
    <w:basedOn w:val="DefaultParagraphFont"/>
    <w:link w:val="13"/>
    <w:uiPriority w:val="99"/>
    <w:unhideWhenUsed/>
    <w:rPr>
      <w:color w:themeColor="hyperlink" w:val="0563C1"/>
      <w:u w:val="single"/>
    </w:rPr>
  </w:style>
  <w:style w:type="character" w:styleId="Style15" w:customStyle="1">
    <w:name w:val="Абзац списка Знак"/>
    <w:link w:val="ListParagraph"/>
    <w:qFormat/>
    <w:locked/>
    <w:rsid w:val="00265e3c"/>
    <w:rPr>
      <w:rFonts w:ascii="Times New Roman" w:hAnsi="Times New Roman" w:eastAsia="Calibri" w:cs="Times New Roman"/>
      <w:sz w:val="24"/>
      <w:szCs w:val="24"/>
      <w:lang w:eastAsia="ru-RU"/>
    </w:rPr>
  </w:style>
  <w:style w:type="character" w:styleId="WW8Num2z0" w:customStyle="1">
    <w:name w:val="WW8Num2z0"/>
    <w:qFormat/>
    <w:rPr>
      <w:rFonts w:ascii="Calibri" w:hAnsi="Calibri" w:cs="Calibri"/>
    </w:rPr>
  </w:style>
  <w:style w:type="character" w:styleId="WW8Num5z0" w:customStyle="1">
    <w:name w:val="WW8Num5z0"/>
    <w:qFormat/>
    <w:rPr>
      <w:rFonts w:ascii="Calibri" w:hAnsi="Calibri" w:cs="Calibri"/>
    </w:rPr>
  </w:style>
  <w:style w:type="character" w:styleId="WW8Num3z0" w:customStyle="1">
    <w:name w:val="WW8Num3z0"/>
    <w:qFormat/>
    <w:rPr>
      <w:rFonts w:ascii="Calibri" w:hAnsi="Calibri" w:cs="Calibri"/>
    </w:rPr>
  </w:style>
  <w:style w:type="character" w:styleId="WW8Num4z0" w:customStyle="1">
    <w:name w:val="WW8Num4z0"/>
    <w:qFormat/>
    <w:rPr>
      <w:rFonts w:ascii="Calibri" w:hAnsi="Calibri" w:cs="Calibri"/>
    </w:rPr>
  </w:style>
  <w:style w:type="character" w:styleId="WW8Num6z0" w:customStyle="1">
    <w:name w:val="WW8Num6z0"/>
    <w:qFormat/>
    <w:rPr>
      <w:rFonts w:ascii="Calibri" w:hAnsi="Calibri" w:cs="Calibri"/>
    </w:rPr>
  </w:style>
  <w:style w:type="character" w:styleId="S1" w:customStyle="1">
    <w:name w:val="s1"/>
    <w:basedOn w:val="DefaultParagraphFont"/>
    <w:qFormat/>
    <w:rPr/>
  </w:style>
  <w:style w:type="character" w:styleId="Strong">
    <w:name w:val="Strong"/>
    <w:qFormat/>
    <w:rPr>
      <w:b/>
      <w:bCs/>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11"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rPr>
  </w:style>
  <w:style w:type="paragraph" w:styleId="12" w:customStyle="1">
    <w:name w:val="Указатель1"/>
    <w:basedOn w:val="Normal"/>
    <w:qFormat/>
    <w:pPr>
      <w:suppressLineNumbers/>
    </w:pPr>
    <w:rPr>
      <w:rFonts w:ascii="PT Astra Serif" w:hAnsi="PT Astra Serif" w:cs="Noto Sans Devanagari"/>
    </w:rPr>
  </w:style>
  <w:style w:type="paragraph" w:styleId="Caption11" w:customStyle="1">
    <w:name w:val="caption11"/>
    <w:basedOn w:val="Normal"/>
    <w:qFormat/>
    <w:pPr>
      <w:suppressLineNumbers/>
      <w:spacing w:before="120" w:after="120"/>
    </w:pPr>
    <w:rPr>
      <w:rFonts w:ascii="PT Astra Serif" w:hAnsi="PT Astra Serif" w:cs="Noto Sans Devanagari"/>
      <w:i/>
      <w:iCs/>
    </w:rPr>
  </w:style>
  <w:style w:type="paragraph" w:styleId="NoSpacing">
    <w:name w:val="No Spacing"/>
    <w:uiPriority w:val="1"/>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Style18" w:customStyle="1">
    <w:name w:val="Колонтитул"/>
    <w:basedOn w:val="Normal"/>
    <w:qFormat/>
    <w:pPr/>
    <w:rPr/>
  </w:style>
  <w:style w:type="paragraph" w:styleId="Header">
    <w:name w:val="Header"/>
    <w:basedOn w:val="Normal"/>
    <w:link w:val="Style8"/>
    <w:uiPriority w:val="99"/>
    <w:unhideWhenUsed/>
    <w:pPr>
      <w:tabs>
        <w:tab w:val="clear" w:pos="708"/>
        <w:tab w:val="center" w:pos="7143" w:leader="none"/>
        <w:tab w:val="right" w:pos="14287" w:leader="none"/>
      </w:tabs>
    </w:pPr>
    <w:rPr/>
  </w:style>
  <w:style w:type="paragraph" w:styleId="Footer">
    <w:name w:val="Footer"/>
    <w:basedOn w:val="Normal"/>
    <w:link w:val="Style9"/>
    <w:uiPriority w:val="99"/>
    <w:unhideWhenUsed/>
    <w:pPr>
      <w:tabs>
        <w:tab w:val="clear" w:pos="708"/>
        <w:tab w:val="center" w:pos="7143" w:leader="none"/>
        <w:tab w:val="right" w:pos="14287" w:leader="none"/>
      </w:tabs>
    </w:pPr>
    <w:rPr/>
  </w:style>
  <w:style w:type="paragraph" w:styleId="Caption111" w:customStyle="1">
    <w:name w:val="caption111"/>
    <w:basedOn w:val="Normal"/>
    <w:next w:val="Normal"/>
    <w:uiPriority w:val="35"/>
    <w:semiHidden/>
    <w:unhideWhenUsed/>
    <w:qFormat/>
    <w:pPr>
      <w:spacing w:lineRule="auto" w:line="276"/>
    </w:pPr>
    <w:rPr>
      <w:b/>
      <w:bCs/>
      <w:color w:themeColor="accent1" w:val="5B9BD5"/>
      <w:sz w:val="18"/>
      <w:szCs w:val="18"/>
    </w:rPr>
  </w:style>
  <w:style w:type="paragraph" w:styleId="FootnoteText">
    <w:name w:val="Footnote Text"/>
    <w:basedOn w:val="Normal"/>
    <w:link w:val="Style10"/>
    <w:uiPriority w:val="99"/>
    <w:semiHidden/>
    <w:unhideWhenUsed/>
    <w:pPr>
      <w:spacing w:before="0" w:after="40"/>
    </w:pPr>
    <w:rPr>
      <w:sz w:val="18"/>
    </w:rPr>
  </w:style>
  <w:style w:type="paragraph" w:styleId="EndnoteText">
    <w:name w:val="Endnote Text"/>
    <w:basedOn w:val="Normal"/>
    <w:link w:val="Style12"/>
    <w:uiPriority w:val="99"/>
    <w:semiHidden/>
    <w:unhideWhenUsed/>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1" w:customStyle="1">
    <w:name w:val="index heading1"/>
    <w:basedOn w:val="11"/>
    <w:qFormat/>
    <w:pPr/>
    <w:rPr/>
  </w:style>
  <w:style w:type="paragraph" w:styleId="Indexheading2">
    <w:name w:val="index heading2"/>
    <w:basedOn w:val="11"/>
    <w:qFormat/>
    <w:pPr/>
    <w:rPr/>
  </w:style>
  <w:style w:type="paragraph" w:styleId="IndexHeading">
    <w:name w:val="Index Heading"/>
    <w:basedOn w:val="Style16"/>
    <w:pPr/>
    <w:rPr/>
  </w:style>
  <w:style w:type="paragraph" w:styleId="TOCHeading">
    <w:name w:val="TOC Heading"/>
    <w:uiPriority w:val="39"/>
    <w:unhideWhenUsed/>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rPr/>
  </w:style>
  <w:style w:type="paragraph" w:styleId="ListParagraph">
    <w:name w:val="List Paragraph"/>
    <w:basedOn w:val="Normal"/>
    <w:link w:val="Style15"/>
    <w:uiPriority w:val="34"/>
    <w:qFormat/>
    <w:pPr>
      <w:spacing w:before="0" w:after="0"/>
      <w:ind w:left="720"/>
      <w:contextualSpacing/>
    </w:pPr>
    <w:rPr/>
  </w:style>
  <w:style w:type="paragraph" w:styleId="BalloonText">
    <w:name w:val="Balloon Text"/>
    <w:basedOn w:val="Normal"/>
    <w:link w:val="Style14"/>
    <w:uiPriority w:val="99"/>
    <w:semiHidden/>
    <w:unhideWhenUsed/>
    <w:qFormat/>
    <w:pPr/>
    <w:rPr>
      <w:rFonts w:ascii="Segoe UI" w:hAnsi="Segoe UI" w:cs="Segoe UI"/>
      <w:sz w:val="18"/>
      <w:szCs w:val="18"/>
    </w:rPr>
  </w:style>
  <w:style w:type="paragraph" w:styleId="13" w:customStyle="1">
    <w:name w:val="Гиперссылка1"/>
    <w:basedOn w:val="Normal"/>
    <w:uiPriority w:val="99"/>
    <w:qFormat/>
    <w:rsid w:val="00057757"/>
    <w:pPr>
      <w:spacing w:lineRule="auto" w:line="264" w:before="0" w:after="160"/>
    </w:pPr>
    <w:rPr>
      <w:rFonts w:ascii="Calibri" w:hAnsi="Calibri" w:cs="Arial" w:asciiTheme="minorHAnsi" w:cstheme="minorBidi" w:hAnsiTheme="minorHAnsi"/>
      <w:color w:themeColor="hyperlink" w:val="0563C1"/>
      <w:sz w:val="22"/>
      <w:szCs w:val="22"/>
      <w:u w:val="single"/>
      <w:lang w:eastAsia="en-US"/>
    </w:rPr>
  </w:style>
  <w:style w:type="paragraph" w:styleId="14"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d31497"/>
    <w:pPr>
      <w:spacing w:beforeAutospacing="1" w:afterAutospacing="1"/>
    </w:pPr>
    <w:rPr>
      <w:rFonts w:ascii="Tahoma" w:hAnsi="Tahoma" w:eastAsia="Times New Roman" w:cs="Tahoma"/>
      <w:sz w:val="20"/>
      <w:szCs w:val="20"/>
      <w:lang w:val="en-US" w:eastAsia="en-US"/>
    </w:rPr>
  </w:style>
  <w:style w:type="paragraph" w:styleId="NormalWeb">
    <w:name w:val="Normal (Web)"/>
    <w:basedOn w:val="Normal"/>
    <w:qFormat/>
    <w:pPr>
      <w:spacing w:beforeAutospacing="1" w:afterAutospacing="1"/>
    </w:pPr>
    <w:rPr/>
  </w:style>
  <w:style w:type="paragraph" w:styleId="Standard" w:customStyle="1">
    <w:name w:val="Standard"/>
    <w:qFormat/>
    <w:pPr>
      <w:widowControl w:val="false"/>
      <w:suppressAutoHyphens w:val="true"/>
      <w:bidi w:val="0"/>
      <w:spacing w:before="0" w:after="0"/>
      <w:jc w:val="center"/>
      <w:textAlignment w:val="baseline"/>
    </w:pPr>
    <w:rPr>
      <w:rFonts w:ascii="PT Astra Serif;Times New Roman" w:hAnsi="PT Astra Serif;Times New Roman" w:eastAsia="PT Astra Serif;Times New Roman" w:cs="PT Astra Serif;Times New Roman"/>
      <w:color w:val="auto"/>
      <w:kern w:val="2"/>
      <w:sz w:val="28"/>
      <w:szCs w:val="24"/>
      <w:lang w:val="en-US" w:eastAsia="en-US" w:bidi="ar-SA"/>
    </w:rPr>
  </w:style>
  <w:style w:type="paragraph" w:styleId="Firstlineindent" w:customStyle="1">
    <w:name w:val="First line indent"/>
    <w:basedOn w:val="Standard"/>
    <w:qFormat/>
    <w:pPr>
      <w:ind w:firstLine="709"/>
      <w:jc w:val="both"/>
    </w:pPr>
    <w:rPr>
      <w:sz w:val="21"/>
    </w:rPr>
  </w:style>
  <w:style w:type="numbering" w:styleId="NoList" w:default="1">
    <w:name w:val="No List"/>
    <w:uiPriority w:val="99"/>
    <w:semiHidden/>
    <w:unhideWhenUsed/>
    <w:qFormat/>
  </w:style>
  <w:style w:type="numbering" w:styleId="WW8Num2" w:customStyle="1">
    <w:name w:val="WW8Num2"/>
    <w:qFormat/>
  </w:style>
  <w:style w:type="numbering" w:styleId="WW8Num5" w:customStyle="1">
    <w:name w:val="WW8Num5"/>
    <w:qFormat/>
  </w:style>
  <w:style w:type="numbering" w:styleId="WW8Num3" w:customStyle="1">
    <w:name w:val="WW8Num3"/>
    <w:qFormat/>
  </w:style>
  <w:style w:type="numbering" w:styleId="WW8Num4" w:customStyle="1">
    <w:name w:val="WW8Num4"/>
    <w:qFormat/>
  </w:style>
  <w:style w:type="numbering" w:styleId="WW8Num6" w:customStyle="1">
    <w:name w:val="WW8Num6"/>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0">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0">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0">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0">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5B9BD5"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4472C4"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5B9BD5" w:themeColor="accent1" w:sz="12" w:space="0"/>
          <w:right w:val="none" w:color="000000" w:sz="4" w:space="0"/>
        </w:tcBorders>
        <w:shd w:val="clear" w:color="FFFFFF" w:fill="auto"/>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68A2D8" w:fill="68A2D8" w:themeFill="accent1" w:themeFillTint="ea"/>
      </w:tcPr>
    </w:tblStylePr>
    <w:tblStylePr w:type="lastRow">
      <w:rPr>
        <w:b/>
      </w:rPr>
      <w:tblPr/>
      <w:tcPr>
        <w:tcBorders>
          <w:top w:val="single" w:color="5B9BD5"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5B9BD5"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ED7D31"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C000"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lastCol">
      <w:rPr>
        <w:i/>
        <w:color w:themeColor="accent5"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lastCol">
      <w:rPr>
        <w:i/>
        <w:color w:themeColor="accent6"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la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la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5" w:sz="4" w:space="0"/>
          <w:right w:val="single" w:color="4472C4" w:themeColor="accent5" w:sz="4" w:space="0"/>
        </w:tcBorders>
      </w:tcPr>
    </w:tblStylePr>
    <w:tblStylePr w:type="band1Horz">
      <w:rPr>
        <w:sz w:val="22"/>
      </w:rPr>
      <w:tblPr/>
      <w:tcPr>
        <w:tcBorders>
          <w:top w:val="single" w:color="4472C4" w:themeColor="accent5" w:sz="4" w:space="0"/>
          <w:bottom w:val="single" w:color="4472C4"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4472C4"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4472C4" w:themeColor="accent5" w:sz="32" w:space="0"/>
          <w:right w:val="single" w:color="FFFFFF" w:themeColor="light1" w:sz="4" w:space="0"/>
        </w:tcBorders>
      </w:tcPr>
    </w:tblStylePr>
    <w:tblStylePr w:type="lastCol">
      <w:tblPr/>
      <w:tcPr>
        <w:tcBorders>
          <w:left w:val="single" w:color="FFFFFF" w:themeColor="light1" w:sz="4" w:space="0"/>
          <w:right w:val="single" w:color="4472C4"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ED7D31" w:themeColor="accent2" w:sz="4" w:space="0"/>
        </w:tcBorders>
      </w:tcPr>
    </w:tblStylePr>
    <w:tblStylePr w:type="lastRow">
      <w:rPr>
        <w:b/>
        <w:color w:themeColor="accent2" w:themeTint="97" w:themeShade="95"/>
      </w:rPr>
      <w:tblPr/>
      <w:tcPr>
        <w:tcBorders>
          <w:top w:val="single" w:color="ED7D31"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A5A5A5" w:themeColor="accent3" w:sz="4" w:space="0"/>
        </w:tcBorders>
      </w:tcPr>
    </w:tblStylePr>
    <w:tblStylePr w:type="lastRow">
      <w:rPr>
        <w:b/>
        <w:color w:themeColor="accent3" w:themeTint="98" w:themeShade="95"/>
      </w:rPr>
      <w:tblPr/>
      <w:tcPr>
        <w:tcBorders>
          <w:top w:val="single" w:color="A5A5A5"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C000" w:themeColor="accent4" w:sz="4" w:space="0"/>
        </w:tcBorders>
      </w:tcPr>
    </w:tblStylePr>
    <w:tblStylePr w:type="lastRow">
      <w:rPr>
        <w:b/>
        <w:color w:themeColor="accent4" w:themeTint="9a" w:themeShade="95"/>
      </w:rPr>
      <w:tblPr/>
      <w:tcPr>
        <w:tcBorders>
          <w:top w:val="single" w:color="FFC000"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4472C4" w:themeColor="accent5" w:sz="4" w:space="0"/>
        </w:tcBorders>
      </w:tcPr>
    </w:tblStylePr>
    <w:tblStylePr w:type="lastRow">
      <w:rPr>
        <w:b/>
        <w:color w:themeColor="accent5" w:themeTint="9a" w:themeShade="95"/>
      </w:rPr>
      <w:tblPr/>
      <w:tcPr>
        <w:tcBorders>
          <w:top w:val="single" w:color="4472C4"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70AD47" w:themeColor="accent6" w:sz="4" w:space="0"/>
        </w:tcBorders>
      </w:tcPr>
    </w:tblStylePr>
    <w:tblStylePr w:type="lastRow">
      <w:rPr>
        <w:b/>
        <w:color w:themeColor="accent6" w:themeTint="98" w:themeShade="95"/>
      </w:rPr>
      <w:tblPr/>
      <w:tcPr>
        <w:tcBorders>
          <w:top w:val="single" w:color="70AD47"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lang w:eastAsia="ru-RU"/>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lang w:eastAsia="ru-RU"/>
      <w:sz w:val="20"/>
      <w:szCs w:val="20"/>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Pr>
      <w:lang w:eastAsia="ru-RU"/>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lang w:eastAsia="ru-RU"/>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lang w:eastAsia="ru-RU"/>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lang w:eastAsia="ru-RU"/>
      <w:sz w:val="20"/>
      <w:szCs w:val="20"/>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Pr>
      <w:lang w:eastAsia="ru-RU"/>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lang w:eastAsia="ru-RU"/>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lang w:eastAsia="ru-RU"/>
      <w:sz w:val="20"/>
      <w:szCs w:val="20"/>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Pr>
      <w:lang w:eastAsia="ru-RU"/>
      <w:sz w:val="20"/>
      <w:szCs w:val="20"/>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lang w:eastAsia="ru-RU"/>
      <w:sz w:val="20"/>
      <w:szCs w:val="20"/>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lang w:eastAsia="ru-RU"/>
      <w:sz w:val="20"/>
      <w:szCs w:val="20"/>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lang w:eastAsia="ru-RU"/>
      <w:sz w:val="20"/>
      <w:szCs w:val="20"/>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Pr>
      <w:lang w:eastAsia="ru-RU"/>
      <w:sz w:val="20"/>
      <w:szCs w:val="20"/>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4472C4" w:themeColor="accent5" w:sz="12" w:space="0"/>
        </w:tcBorders>
      </w:tcPr>
    </w:tblStylePr>
    <w:tblStylePr w:type="lastRow">
      <w:rPr>
        <w:sz w:val="22"/>
      </w:rPr>
      <w:tblPr/>
      <w:tcPr>
        <w:tcBorders>
          <w:top w:val="single" w:color="4472C4" w:themeColor="accent5" w:sz="12" w:space="0"/>
        </w:tcBorders>
      </w:tcPr>
    </w:tblStylePr>
    <w:tblStylePr w:type="firstCol">
      <w:rPr>
        <w:sz w:val="22"/>
      </w:rPr>
      <w:tblPr/>
    </w:tblStylePr>
    <w:tblStylePr w:type="lastCol">
      <w:rPr>
        <w:sz w:val="22"/>
      </w:rPr>
      <w:tblPr/>
      <w:tcPr>
        <w:tcBorders>
          <w:left w:val="single" w:color="4472C4" w:themeColor="accent5" w:sz="12" w:space="0"/>
        </w:tcBorders>
      </w:tc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aff5">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sv.ru/"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41781-28CA-4EE1-AB35-E05292CB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Application>LibreOffice/7.6.7.2$Linux_X86_64 LibreOffice_project/60$Build-2</Application>
  <AppVersion>15.0000</AppVersion>
  <Pages>21</Pages>
  <Words>7015</Words>
  <Characters>49466</Characters>
  <CharactersWithSpaces>56900</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2025-01-17T09:57:00Z</dcterms:created>
  <dc:creator>Светлана Галиуллина</dc:creator>
  <dc:description/>
  <dc:language>ru-RU</dc:language>
  <cp:lastModifiedBy/>
  <cp:lastPrinted>2025-01-29T09:49:55Z</cp:lastPrinted>
  <dcterms:modified xsi:type="dcterms:W3CDTF">2025-01-29T11:22:42Z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