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jpeg" ContentType="image/jpeg"/>
  <Override PartName="/word/fonts/font16.odttf" ContentType="application/vnd.openxmlformats-officedocument.obfuscatedFont"/>
  <Override PartName="/word/fonts/font15.odttf" ContentType="application/vnd.openxmlformats-officedocument.obfuscatedFont"/>
  <Override PartName="/word/fonts/font14.odttf" ContentType="application/vnd.openxmlformats-officedocument.obfuscatedFont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fonts/font22.odttf" ContentType="application/vnd.openxmlformats-officedocument.obfuscatedFont"/>
  <Override PartName="/word/fonts/font7.odttf" ContentType="application/vnd.openxmlformats-officedocument.obfuscatedFont"/>
  <Override PartName="/word/fonts/font6.odttf" ContentType="application/vnd.openxmlformats-officedocument.obfuscatedFont"/>
  <Override PartName="/word/fonts/font17.odttf" ContentType="application/vnd.openxmlformats-officedocument.obfuscatedFont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21.odttf" ContentType="application/vnd.openxmlformats-officedocument.obfuscatedFont"/>
  <Override PartName="/word/fonts/font4.odttf" ContentType="application/vnd.openxmlformats-officedocument.obfuscatedFont"/>
  <Override PartName="/word/fonts/font20.odttf" ContentType="application/vnd.openxmlformats-officedocument.obfuscatedFont"/>
  <Override PartName="/word/fonts/font3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 w:before="0" w:after="0"/>
        <w:contextualSpacing/>
        <w:jc w:val="center"/>
        <w:rPr>
          <w:lang w:val="tt-RU"/>
        </w:rPr>
      </w:pPr>
      <w:r>
        <w:rPr>
          <w:lang w:val="tt-RU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-728345</wp:posOffset>
            </wp:positionH>
            <wp:positionV relativeFrom="paragraph">
              <wp:posOffset>-646430</wp:posOffset>
            </wp:positionV>
            <wp:extent cx="7564120" cy="2018030"/>
            <wp:effectExtent l="0" t="0" r="0" b="0"/>
            <wp:wrapNone/>
            <wp:docPr id="1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3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contextualSpacing/>
        <w:jc w:val="center"/>
        <w:rPr>
          <w:lang w:val="tt-RU"/>
        </w:rPr>
      </w:pPr>
      <w:r>
        <w:rPr>
          <w:lang w:val="tt-RU"/>
        </w:rPr>
      </w:r>
    </w:p>
    <w:p>
      <w:pPr>
        <w:pStyle w:val="Normal"/>
        <w:spacing w:lineRule="auto" w:line="360" w:before="0" w:after="0"/>
        <w:contextualSpacing/>
        <w:jc w:val="center"/>
        <w:rPr>
          <w:lang w:val="tt-RU"/>
        </w:rPr>
      </w:pPr>
      <w:r>
        <w:rPr>
          <w:lang w:val="tt-RU"/>
        </w:rPr>
      </w:r>
    </w:p>
    <w:p>
      <w:pPr>
        <w:pStyle w:val="Normal"/>
        <w:spacing w:lineRule="auto" w:line="360" w:before="0" w:after="0"/>
        <w:contextualSpacing/>
        <w:jc w:val="center"/>
        <w:rPr>
          <w:lang w:val="tt-RU"/>
        </w:rPr>
      </w:pPr>
      <w:r>
        <w:rPr>
          <w:lang w:val="tt-RU"/>
        </w:rPr>
      </w:r>
    </w:p>
    <w:p>
      <w:pPr>
        <w:pStyle w:val="Normal"/>
        <w:spacing w:lineRule="auto" w:line="360" w:before="0" w:after="0"/>
        <w:contextualSpacing/>
        <w:jc w:val="center"/>
        <w:rPr>
          <w:lang w:val="tt-RU"/>
        </w:rPr>
      </w:pPr>
      <w:r>
        <w:rPr>
          <w:lang w:val="tt-RU"/>
        </w:rPr>
      </w:r>
    </w:p>
    <w:p>
      <w:pPr>
        <w:pStyle w:val="Normal"/>
        <w:spacing w:lineRule="auto" w:line="360" w:before="0" w:after="0"/>
        <w:contextualSpacing/>
        <w:jc w:val="center"/>
        <w:rPr>
          <w:lang w:val="tt-RU"/>
        </w:rPr>
      </w:pPr>
      <w:r>
        <w:rPr>
          <w:lang w:val="tt-RU"/>
        </w:rPr>
      </w:r>
    </w:p>
    <w:p>
      <w:pPr>
        <w:pStyle w:val="Normal"/>
        <w:spacing w:lineRule="auto" w:line="360" w:before="0" w:after="0"/>
        <w:contextualSpacing/>
        <w:jc w:val="center"/>
        <w:rPr>
          <w:lang w:val="tt-RU"/>
        </w:rPr>
      </w:pPr>
      <w:r>
        <w:rPr>
          <w:lang w:val="tt-RU"/>
        </w:rPr>
      </w:r>
    </w:p>
    <w:p>
      <w:pPr>
        <w:pStyle w:val="Normal"/>
        <w:spacing w:lineRule="auto" w:line="360" w:before="0" w:after="0"/>
        <w:contextualSpacing/>
        <w:jc w:val="center"/>
        <w:rPr>
          <w:lang w:val="tt-RU"/>
        </w:rPr>
      </w:pPr>
      <w:r>
        <w:rPr>
          <w:lang w:val="tt-RU"/>
        </w:rPr>
      </w:r>
    </w:p>
    <w:tbl>
      <w:tblPr>
        <w:tblW w:w="9333" w:type="dxa"/>
        <w:jc w:val="left"/>
        <w:tblInd w:w="16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3"/>
        <w:gridCol w:w="4749"/>
      </w:tblGrid>
      <w:tr>
        <w:trPr>
          <w:trHeight w:val="437" w:hRule="atLeast"/>
        </w:trPr>
        <w:tc>
          <w:tcPr>
            <w:tcW w:w="4583" w:type="dxa"/>
            <w:tcBorders/>
          </w:tcPr>
          <w:p>
            <w:pPr>
              <w:pStyle w:val="Normal"/>
              <w:widowControl w:val="false"/>
              <w:spacing w:lineRule="auto" w:line="360"/>
              <w:ind w:left="227" w:right="567" w:hanging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ПРИКАЗ</w:t>
            </w:r>
          </w:p>
        </w:tc>
        <w:tc>
          <w:tcPr>
            <w:tcW w:w="4749" w:type="dxa"/>
            <w:tcBorders/>
          </w:tcPr>
          <w:p>
            <w:pPr>
              <w:pStyle w:val="Normal"/>
              <w:widowControl w:val="false"/>
              <w:spacing w:lineRule="auto" w:line="36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</w:t>
            </w:r>
            <w:r>
              <w:rPr>
                <w:b/>
                <w:bCs/>
                <w:sz w:val="24"/>
                <w:szCs w:val="24"/>
              </w:rPr>
              <w:t>БОЕРЫК</w:t>
            </w:r>
          </w:p>
        </w:tc>
      </w:tr>
    </w:tbl>
    <w:p>
      <w:pPr>
        <w:pStyle w:val="Normal"/>
        <w:jc w:val="both"/>
        <w:rPr>
          <w:kern w:val="2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</w:t>
      </w:r>
      <w:r>
        <w:rPr>
          <w:color w:val="000000"/>
          <w:sz w:val="24"/>
          <w:szCs w:val="24"/>
        </w:rPr>
        <w:t xml:space="preserve">«____» __________ 20____ г.          г. Казань        </w:t>
        <w:tab/>
        <w:t xml:space="preserve">               №________________</w:t>
      </w:r>
    </w:p>
    <w:p>
      <w:pPr>
        <w:pStyle w:val="Normal"/>
        <w:spacing w:lineRule="auto" w:line="360" w:before="0" w:after="0"/>
        <w:ind w:left="142" w:right="0" w:hanging="0"/>
        <w:contextualSpacing/>
        <w:jc w:val="center"/>
        <w:rPr>
          <w:lang w:val="tt-RU"/>
        </w:rPr>
      </w:pPr>
      <w:r>
        <w:rPr>
          <w:lang w:val="tt-RU"/>
        </w:rPr>
      </w:r>
    </w:p>
    <w:p>
      <w:pPr>
        <w:pStyle w:val="Default"/>
        <w:widowControl/>
        <w:suppressAutoHyphens w:val="true"/>
        <w:overflowPunct w:val="false"/>
        <w:bidi w:val="0"/>
        <w:spacing w:before="0" w:after="0"/>
        <w:ind w:left="0" w:right="5726" w:hanging="0"/>
        <w:jc w:val="both"/>
        <w:rPr/>
      </w:pPr>
      <w:r>
        <w:rPr/>
        <w:t>Об объявлении конкурса на предоставление в 2025 году грантов Республики Татарстан на улучшение жилищных условий молодых ученых Республики Татарстан</w:t>
      </w:r>
    </w:p>
    <w:p>
      <w:pPr>
        <w:pStyle w:val="Normal"/>
        <w:ind w:left="0" w:right="0" w:firstLine="708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0" w:right="0" w:firstLine="708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0" w:right="0" w:firstLine="708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 постановлением Кабинета Министров Республики Татарстан от 28 августа 2025 № 644 «О грантах Республики Татарстан на улучшение жилищных условий молодых ученых Республики Татарстан» (далее — постановление)</w:t>
      </w:r>
    </w:p>
    <w:p>
      <w:pPr>
        <w:pStyle w:val="Normal"/>
        <w:ind w:left="0" w:right="0" w:firstLine="708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ind w:left="0" w:right="0" w:firstLine="708"/>
        <w:jc w:val="center"/>
        <w:rPr>
          <w:sz w:val="26"/>
          <w:szCs w:val="26"/>
        </w:rPr>
      </w:pPr>
      <w:r>
        <w:rPr>
          <w:sz w:val="26"/>
          <w:szCs w:val="26"/>
        </w:rPr>
        <w:t>п р и к а з ы в а ю:</w:t>
      </w:r>
    </w:p>
    <w:p>
      <w:pPr>
        <w:pStyle w:val="Normal"/>
        <w:ind w:left="0" w:right="0" w:firstLine="708"/>
        <w:jc w:val="center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20"/>
          <w:tab w:val="left" w:pos="1134" w:leader="none"/>
        </w:tabs>
        <w:ind w:left="0" w:right="0" w:firstLine="709"/>
        <w:jc w:val="both"/>
        <w:rPr>
          <w:highlight w:val="none"/>
          <w:shd w:fill="auto" w:val="clear"/>
        </w:rPr>
      </w:pPr>
      <w:r>
        <w:rPr>
          <w:sz w:val="26"/>
          <w:szCs w:val="26"/>
          <w:shd w:fill="auto" w:val="clear"/>
        </w:rPr>
        <w:t>1. Объявить конкурс на предоставление в 2025 году грантов Республики Татарстан на улучшение жилищных условий молодых ученых Республики Татарстан (далее – Конкурс).</w:t>
      </w:r>
    </w:p>
    <w:p>
      <w:pPr>
        <w:pStyle w:val="Normal"/>
        <w:tabs>
          <w:tab w:val="clear" w:pos="720"/>
          <w:tab w:val="left" w:pos="1134" w:leader="none"/>
        </w:tabs>
        <w:ind w:left="0" w:right="0" w:firstLine="709"/>
        <w:jc w:val="both"/>
        <w:rPr>
          <w:highlight w:val="none"/>
          <w:shd w:fill="auto" w:val="clear"/>
        </w:rPr>
      </w:pPr>
      <w:r>
        <w:rPr>
          <w:bCs/>
          <w:spacing w:val="2"/>
          <w:kern w:val="2"/>
          <w:sz w:val="26"/>
          <w:szCs w:val="26"/>
          <w:shd w:fill="auto" w:val="clear"/>
        </w:rPr>
        <w:t>2. Установить следующие сроки проведения Конкурса:</w:t>
      </w:r>
    </w:p>
    <w:p>
      <w:pPr>
        <w:pStyle w:val="Normal"/>
        <w:ind w:left="0" w:righ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начало приема заявлений: 9 часов 00 минут 9 сентября 2025 года;</w:t>
      </w:r>
    </w:p>
    <w:p>
      <w:pPr>
        <w:pStyle w:val="Normal"/>
        <w:ind w:left="0" w:righ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окончание приема заявлений: 17 часов 00 минут 8 октября 2025 года;</w:t>
      </w:r>
    </w:p>
    <w:p>
      <w:pPr>
        <w:pStyle w:val="Normal"/>
        <w:ind w:left="0" w:righ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дата проведения Конкурса: 19 ноября 2025 года</w:t>
      </w:r>
    </w:p>
    <w:p>
      <w:pPr>
        <w:pStyle w:val="Normal"/>
        <w:ind w:left="0" w:right="0" w:firstLine="709"/>
        <w:jc w:val="both"/>
        <w:rPr>
          <w:sz w:val="26"/>
          <w:szCs w:val="26"/>
          <w:highlight w:val="none"/>
          <w:shd w:fill="auto" w:val="clear"/>
        </w:rPr>
      </w:pPr>
      <w:r>
        <w:rPr>
          <w:bCs/>
          <w:spacing w:val="2"/>
          <w:kern w:val="2"/>
          <w:sz w:val="26"/>
          <w:szCs w:val="26"/>
          <w:shd w:fill="auto" w:val="clear"/>
        </w:rPr>
        <w:t>- дата объявления результатов Конкурса: 20 ноября 2025.</w:t>
      </w:r>
    </w:p>
    <w:p>
      <w:pPr>
        <w:pStyle w:val="Normal"/>
        <w:tabs>
          <w:tab w:val="clear" w:pos="720"/>
          <w:tab w:val="left" w:pos="1134" w:leader="none"/>
        </w:tabs>
        <w:ind w:left="0" w:right="0" w:firstLine="709"/>
        <w:jc w:val="both"/>
        <w:rPr>
          <w:sz w:val="26"/>
          <w:szCs w:val="26"/>
        </w:rPr>
      </w:pPr>
      <w:r>
        <w:rPr>
          <w:bCs/>
          <w:spacing w:val="2"/>
          <w:kern w:val="2"/>
          <w:sz w:val="26"/>
          <w:szCs w:val="26"/>
        </w:rPr>
        <w:t>3. Утвердить текст объявления о проведении Конкурса согласно приложению к настоящему приказу.</w:t>
      </w:r>
    </w:p>
    <w:p>
      <w:pPr>
        <w:pStyle w:val="Normal"/>
        <w:tabs>
          <w:tab w:val="clear" w:pos="720"/>
          <w:tab w:val="left" w:pos="1134" w:leader="none"/>
        </w:tabs>
        <w:ind w:left="0" w:right="0" w:firstLine="709"/>
        <w:jc w:val="both"/>
        <w:rPr>
          <w:sz w:val="26"/>
          <w:szCs w:val="26"/>
        </w:rPr>
      </w:pPr>
      <w:r>
        <w:rPr>
          <w:bCs/>
          <w:spacing w:val="2"/>
          <w:kern w:val="2"/>
          <w:sz w:val="26"/>
          <w:szCs w:val="26"/>
        </w:rPr>
        <w:t xml:space="preserve">4. Начальнику сектора по работе с общественностью и средствами массовой информации Пекунову Д.С. обеспечить размещение объявления о проведении Конкурса на официальном сайте Академии </w:t>
      </w:r>
      <w:r>
        <w:rPr>
          <w:bCs/>
          <w:spacing w:val="2"/>
          <w:kern w:val="2"/>
          <w:sz w:val="26"/>
          <w:szCs w:val="26"/>
          <w:shd w:fill="auto" w:val="clear"/>
        </w:rPr>
        <w:t xml:space="preserve">наук Республики Татарстан в информационно-телекоммуникационной сети «Интернет» </w:t>
      </w:r>
      <w:r>
        <w:rPr>
          <w:bCs/>
          <w:spacing w:val="2"/>
          <w:kern w:val="2"/>
          <w:sz w:val="26"/>
          <w:szCs w:val="26"/>
          <w:shd w:fill="auto" w:val="clear"/>
        </w:rPr>
        <w:t>не позднее</w:t>
      </w:r>
      <w:r>
        <w:rPr>
          <w:bCs/>
          <w:spacing w:val="2"/>
          <w:kern w:val="2"/>
          <w:sz w:val="26"/>
          <w:szCs w:val="26"/>
          <w:shd w:fill="auto" w:val="clear"/>
        </w:rPr>
        <w:t xml:space="preserve"> трех рабочих дней со дня издания настоящего приказа.</w:t>
      </w:r>
    </w:p>
    <w:p>
      <w:pPr>
        <w:pStyle w:val="Normal"/>
        <w:tabs>
          <w:tab w:val="clear" w:pos="720"/>
          <w:tab w:val="left" w:pos="1134" w:leader="none"/>
        </w:tabs>
        <w:ind w:left="0" w:right="0" w:firstLine="709"/>
        <w:jc w:val="both"/>
        <w:rPr>
          <w:highlight w:val="none"/>
          <w:shd w:fill="auto" w:val="clear"/>
        </w:rPr>
      </w:pPr>
      <w:r>
        <w:rPr>
          <w:bCs/>
          <w:spacing w:val="2"/>
          <w:kern w:val="2"/>
          <w:sz w:val="26"/>
          <w:szCs w:val="26"/>
          <w:shd w:fill="auto" w:val="clear"/>
        </w:rPr>
        <w:t xml:space="preserve">5. Начальнику отдела аспирантуры и повышения квалификации Абдуллиной Ч.З. направить настоящий приказ членам Межведомственной комиссии по определению победителей Конкурса </w:t>
      </w:r>
      <w:r>
        <w:rPr>
          <w:bCs/>
          <w:spacing w:val="2"/>
          <w:kern w:val="2"/>
          <w:sz w:val="26"/>
          <w:szCs w:val="26"/>
          <w:shd w:fill="auto" w:val="clear"/>
        </w:rPr>
        <w:t xml:space="preserve">не позднее </w:t>
      </w:r>
      <w:r>
        <w:rPr>
          <w:bCs/>
          <w:spacing w:val="2"/>
          <w:kern w:val="2"/>
          <w:sz w:val="26"/>
          <w:szCs w:val="26"/>
          <w:shd w:fill="auto" w:val="clear"/>
        </w:rPr>
        <w:t>одного рабочего дня после издания настоящего приказа.</w:t>
      </w:r>
    </w:p>
    <w:p>
      <w:pPr>
        <w:pStyle w:val="ListParagraph"/>
        <w:tabs>
          <w:tab w:val="clear" w:pos="720"/>
          <w:tab w:val="left" w:pos="1134" w:leader="none"/>
        </w:tabs>
        <w:ind w:left="0" w:righ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>
        <w:rPr>
          <w:sz w:val="26"/>
          <w:szCs w:val="26"/>
        </w:rPr>
        <w:t>. Контроль за исполнением настоящего приказа возложить на вице-президента Академии наук Республики Татарстан Тимерханова А.А.</w:t>
      </w:r>
    </w:p>
    <w:p>
      <w:pPr>
        <w:pStyle w:val="Normal"/>
        <w:widowControl w:val="false"/>
        <w:shd w:val="clear" w:fill="FFFFFF"/>
        <w:ind w:left="0" w:right="0"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widowControl w:val="false"/>
        <w:shd w:val="clear" w:fill="FFFFFF"/>
        <w:spacing w:lineRule="auto" w:line="276"/>
        <w:ind w:left="0" w:right="0"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sectPr>
          <w:type w:val="nextPage"/>
          <w:pgSz w:w="11906" w:h="16838"/>
          <w:pgMar w:left="1134" w:right="1134" w:gutter="0" w:header="0" w:top="851" w:footer="0" w:bottom="993"/>
          <w:pgNumType w:fmt="decimal"/>
          <w:formProt w:val="false"/>
          <w:textDirection w:val="lrTb"/>
          <w:docGrid w:type="default" w:linePitch="272" w:charSpace="16384"/>
        </w:sectPr>
        <w:pStyle w:val="Normal"/>
        <w:widowControl w:val="false"/>
        <w:shd w:val="clear" w:fill="FFFFFF"/>
        <w:spacing w:lineRule="auto" w:line="276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Президент </w:t>
        <w:tab/>
        <w:tab/>
        <w:tab/>
        <w:tab/>
        <w:tab/>
        <w:tab/>
        <w:tab/>
        <w:tab/>
        <w:tab/>
        <w:t>Р.Н. Минниханов</w:t>
      </w:r>
    </w:p>
    <w:p>
      <w:pPr>
        <w:pStyle w:val="Normal"/>
        <w:ind w:left="4820" w:right="0" w:hanging="0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>
      <w:pPr>
        <w:pStyle w:val="Normal"/>
        <w:ind w:left="4820" w:right="0" w:hanging="0"/>
        <w:rPr>
          <w:sz w:val="28"/>
          <w:szCs w:val="28"/>
        </w:rPr>
      </w:pPr>
      <w:r>
        <w:rPr>
          <w:sz w:val="28"/>
          <w:szCs w:val="28"/>
          <w:shd w:fill="FFFF00" w:val="clear"/>
        </w:rPr>
        <w:t>к приказу Академии наук</w:t>
      </w:r>
    </w:p>
    <w:p>
      <w:pPr>
        <w:pStyle w:val="Normal"/>
        <w:ind w:left="4820" w:right="0" w:hanging="0"/>
        <w:rPr>
          <w:sz w:val="28"/>
          <w:szCs w:val="28"/>
        </w:rPr>
      </w:pPr>
      <w:r>
        <w:rPr>
          <w:sz w:val="28"/>
          <w:szCs w:val="28"/>
          <w:shd w:fill="FFFF00" w:val="clear"/>
        </w:rPr>
        <w:t>Республики Татарстан</w:t>
      </w:r>
    </w:p>
    <w:p>
      <w:pPr>
        <w:pStyle w:val="Normal"/>
        <w:ind w:left="4820" w:right="0" w:hanging="0"/>
        <w:rPr>
          <w:sz w:val="28"/>
          <w:szCs w:val="28"/>
        </w:rPr>
      </w:pPr>
      <w:r>
        <w:rPr>
          <w:sz w:val="28"/>
          <w:szCs w:val="28"/>
        </w:rPr>
        <w:t>от __________ №_____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Объявление </w:t>
      </w:r>
    </w:p>
    <w:p>
      <w:pPr>
        <w:pStyle w:val="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Государственным научным бюджетным учреждением «Академия наук Республики Татарстан» конкурса грантов Республики Татарстан, предоставляемых на улучшение жилищных условий молодых ученых Республике Татарстан в 2025 году</w:t>
      </w:r>
    </w:p>
    <w:p>
      <w:pPr>
        <w:pStyle w:val="Normal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0" w:right="0" w:firstLine="709"/>
        <w:jc w:val="both"/>
        <w:rPr>
          <w:sz w:val="28"/>
        </w:rPr>
      </w:pPr>
      <w:r>
        <w:rPr>
          <w:b w:val="false"/>
          <w:bCs w:val="false"/>
          <w:sz w:val="28"/>
          <w:szCs w:val="28"/>
        </w:rPr>
        <w:t>Государственное научное бюджетное учреждение «Академия наук Республики Татарстан» (далее — Академия наук Республики Татарстан, грантодатель) объ</w:t>
      </w:r>
      <w:r>
        <w:rPr>
          <w:sz w:val="28"/>
          <w:szCs w:val="28"/>
        </w:rPr>
        <w:t>являет прием заявлений для участия в конкурсе</w:t>
      </w:r>
      <w:r>
        <w:rPr>
          <w:sz w:val="28"/>
        </w:rPr>
        <w:t xml:space="preserve"> </w:t>
      </w:r>
      <w:r>
        <w:rPr>
          <w:sz w:val="28"/>
          <w:szCs w:val="28"/>
        </w:rPr>
        <w:t xml:space="preserve">на предоставление в 2025 году грантов Республики Татарстан </w:t>
      </w:r>
      <w:r>
        <w:rPr>
          <w:b w:val="false"/>
          <w:bCs w:val="false"/>
          <w:sz w:val="28"/>
          <w:szCs w:val="28"/>
        </w:rPr>
        <w:t xml:space="preserve">на улучшение жилищных условий молодых ученых Республике Татарстан </w:t>
      </w:r>
      <w:r>
        <w:rPr>
          <w:sz w:val="28"/>
        </w:rPr>
        <w:t>(далее соответственно – конкурс, грант)</w:t>
      </w:r>
      <w:r>
        <w:rPr>
          <w:sz w:val="28"/>
          <w:szCs w:val="28"/>
        </w:rPr>
        <w:t>. Порядок предоставления в 2025 году грантов Республики Татарстан на улучшение жилищных условий молодых ученых Республики Татарстан, утверждён постановлением Кабинета Министров Республики Татарстан  от 28.08.2025 № 644 «О грантах Республики Татарстан на улучшение жилищных условий молодых ученых Республики Татарстан» (далее – Порядок).</w:t>
      </w:r>
    </w:p>
    <w:p>
      <w:pPr>
        <w:pStyle w:val="Normal"/>
        <w:ind w:left="0" w:right="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Информация о грантодателе</w:t>
      </w:r>
      <w:r>
        <w:rPr>
          <w:sz w:val="28"/>
          <w:szCs w:val="28"/>
        </w:rPr>
        <w:t xml:space="preserve">: </w:t>
      </w:r>
    </w:p>
    <w:p>
      <w:pPr>
        <w:pStyle w:val="Normal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Наименование: Государственное научное бюджетное учреждение «Академия наук Республики Татарстан»</w:t>
      </w:r>
    </w:p>
    <w:p>
      <w:pPr>
        <w:pStyle w:val="Normal"/>
        <w:ind w:left="0" w:right="0" w:firstLine="709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>Адрес: 420111, Республика Татарстан, г. Казань, ул. Баумана, д. 20</w:t>
      </w:r>
    </w:p>
    <w:p>
      <w:pPr>
        <w:pStyle w:val="Normal"/>
        <w:ind w:left="0" w:right="0" w:firstLine="709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 xml:space="preserve">Телефон/факс: +7 (843) 292 02 72, +7 </w:t>
      </w:r>
      <w:r>
        <w:rPr>
          <w:sz w:val="28"/>
          <w:szCs w:val="28"/>
          <w:shd w:fill="auto" w:val="clear"/>
        </w:rPr>
        <w:t xml:space="preserve">(843) 292 </w:t>
      </w:r>
      <w:r>
        <w:rPr>
          <w:sz w:val="28"/>
          <w:szCs w:val="28"/>
          <w:shd w:fill="auto" w:val="clear"/>
        </w:rPr>
        <w:t>78 78</w:t>
      </w:r>
    </w:p>
    <w:p>
      <w:pPr>
        <w:pStyle w:val="Normal"/>
        <w:ind w:left="0" w:right="0" w:firstLine="709"/>
        <w:jc w:val="both"/>
        <w:rPr>
          <w:highlight w:val="none"/>
          <w:shd w:fill="auto" w:val="clear"/>
        </w:rPr>
      </w:pPr>
      <w:r>
        <w:rPr>
          <w:sz w:val="28"/>
          <w:szCs w:val="28"/>
          <w:shd w:fill="auto" w:val="clear"/>
        </w:rPr>
        <w:t xml:space="preserve">Электронная почта: </w:t>
      </w:r>
      <w:r>
        <w:rPr>
          <w:sz w:val="28"/>
          <w:szCs w:val="28"/>
          <w:shd w:fill="FFFF00" w:val="clear"/>
        </w:rPr>
        <w:t xml:space="preserve">an.rt@tatar.ru </w:t>
      </w:r>
    </w:p>
    <w:p>
      <w:pPr>
        <w:pStyle w:val="Normal"/>
        <w:ind w:left="0" w:right="0" w:firstLine="709"/>
        <w:jc w:val="both"/>
        <w:rPr>
          <w:highlight w:val="none"/>
          <w:shd w:fill="auto" w:val="clear"/>
        </w:rPr>
      </w:pPr>
      <w:r>
        <w:rPr>
          <w:b/>
          <w:sz w:val="28"/>
          <w:szCs w:val="28"/>
          <w:shd w:fill="auto" w:val="clear"/>
        </w:rPr>
        <w:t>Размер гранта:</w:t>
      </w:r>
      <w:r>
        <w:rPr>
          <w:sz w:val="28"/>
          <w:szCs w:val="28"/>
          <w:shd w:fill="auto" w:val="clear"/>
        </w:rPr>
        <w:t xml:space="preserve"> 1 375,0 тыс.рублей.</w:t>
      </w:r>
    </w:p>
    <w:p>
      <w:pPr>
        <w:pStyle w:val="Normal"/>
        <w:ind w:left="0" w:right="0" w:firstLine="709"/>
        <w:jc w:val="both"/>
        <w:rPr>
          <w:highlight w:val="none"/>
          <w:shd w:fill="auto" w:val="clear"/>
        </w:rPr>
      </w:pPr>
      <w:r>
        <w:rPr>
          <w:b/>
          <w:bCs/>
          <w:sz w:val="28"/>
          <w:szCs w:val="28"/>
          <w:shd w:fill="auto" w:val="clear"/>
        </w:rPr>
        <w:t>Количество предоставляемых грантов:</w:t>
      </w:r>
      <w:r>
        <w:rPr>
          <w:sz w:val="28"/>
          <w:szCs w:val="28"/>
          <w:shd w:fill="auto" w:val="clear"/>
        </w:rPr>
        <w:t xml:space="preserve"> не более 20.</w:t>
      </w:r>
    </w:p>
    <w:p>
      <w:pPr>
        <w:pStyle w:val="Normal"/>
        <w:ind w:left="0" w:right="0" w:firstLine="709"/>
        <w:jc w:val="both"/>
        <w:rPr>
          <w:highlight w:val="none"/>
          <w:shd w:fill="auto" w:val="clear"/>
        </w:rPr>
      </w:pPr>
      <w:r>
        <w:rPr>
          <w:b/>
          <w:bCs/>
          <w:sz w:val="28"/>
          <w:szCs w:val="28"/>
          <w:shd w:fill="auto" w:val="clear"/>
        </w:rPr>
        <w:t xml:space="preserve">Грант предоставляется: </w:t>
      </w:r>
    </w:p>
    <w:p>
      <w:pPr>
        <w:pStyle w:val="Normal"/>
        <w:suppressAutoHyphens w:val="false"/>
        <w:ind w:left="0" w:righ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shd w:fill="auto" w:val="clear"/>
        </w:rPr>
        <w:t>а) для оплаты первоначального взноса за выкупаемые жилые помещения, приобретаемые в рамках реализации п</w:t>
      </w:r>
      <w:r>
        <w:rPr>
          <w:rFonts w:cs="Times New Roman"/>
          <w:sz w:val="28"/>
          <w:szCs w:val="28"/>
        </w:rPr>
        <w:t>остановления Кабинета Министров Республики Татарстан от 02.08.2007 № 366 «О дальнейших мерах по реализации Закона Республики Татарстан от 27 декабря 2004 года № 69-ЗРТ «О государственной поддержке развития жилищного строительства в Республике Татарстан» и совершенствованию порядка предоставления жилья в рамках республиканской государственной поддержки»;</w:t>
      </w:r>
    </w:p>
    <w:p>
      <w:pPr>
        <w:pStyle w:val="Normal"/>
        <w:suppressAutoHyphens w:val="false"/>
        <w:ind w:left="0" w:right="0" w:firstLine="709"/>
        <w:jc w:val="both"/>
        <w:rPr/>
      </w:pPr>
      <w:r>
        <w:rPr>
          <w:rFonts w:cs="Times New Roman"/>
          <w:sz w:val="28"/>
          <w:szCs w:val="28"/>
        </w:rPr>
        <w:t>б) для оплаты стоимости жилого помещения, но не более стоимости неоплаченной части жилого помещения, предоставленного по договору социальной ипотеки</w:t>
      </w:r>
      <w:r>
        <w:rPr>
          <w:sz w:val="28"/>
        </w:rPr>
        <w:t>, заключенному со специализированной организацией;</w:t>
      </w:r>
    </w:p>
    <w:p>
      <w:pPr>
        <w:pStyle w:val="Normal"/>
        <w:suppressAutoHyphens w:val="false"/>
        <w:ind w:left="0" w:right="0" w:firstLine="709"/>
        <w:jc w:val="both"/>
        <w:rPr>
          <w:rFonts w:ascii="Times New Roman" w:hAnsi="Times New Roman" w:cs="Times New Roman"/>
          <w:sz w:val="28"/>
          <w:szCs w:val="28"/>
          <w:shd w:fill="FFFF00" w:val="clear"/>
        </w:rPr>
      </w:pPr>
      <w:r>
        <w:rPr>
          <w:rFonts w:cs="Times New Roman"/>
          <w:sz w:val="28"/>
          <w:szCs w:val="28"/>
        </w:rPr>
        <w:t>в) для погашения остатка неоплаченной суммы основного долга и процентов по договору целевого денежного займа, заключенному со специализированной организацией.</w:t>
      </w:r>
    </w:p>
    <w:p>
      <w:pPr>
        <w:pStyle w:val="Normal"/>
        <w:ind w:left="0" w:right="0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Сроки проведения конкурса</w:t>
      </w:r>
      <w:r>
        <w:rPr>
          <w:sz w:val="28"/>
          <w:szCs w:val="28"/>
        </w:rPr>
        <w:t xml:space="preserve">: </w:t>
      </w:r>
    </w:p>
    <w:p>
      <w:pPr>
        <w:pStyle w:val="Normal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начало приема заявлений: 9 часов 00 минут 9 сентября 2025 года;</w:t>
      </w:r>
    </w:p>
    <w:p>
      <w:pPr>
        <w:pStyle w:val="Normal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окончание приема заявлений: 17 часов 00 минут 8 октября 2025 года;</w:t>
      </w:r>
    </w:p>
    <w:p>
      <w:pPr>
        <w:pStyle w:val="Normal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дата проведения конкурса: 19 ноября 2025 года</w:t>
      </w:r>
    </w:p>
    <w:p>
      <w:pPr>
        <w:pStyle w:val="Normal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дата объявления результатов конкурса: 20 ноября 2025 </w:t>
      </w:r>
    </w:p>
    <w:p>
      <w:pPr>
        <w:pStyle w:val="ConsPlusNormal1"/>
        <w:ind w:left="0" w:right="0" w:firstLine="709"/>
        <w:jc w:val="both"/>
        <w:rPr>
          <w:b/>
        </w:rPr>
      </w:pPr>
      <w:r>
        <w:rPr>
          <w:b/>
        </w:rPr>
        <w:t xml:space="preserve">Требования к </w:t>
      </w:r>
      <w:r>
        <w:rPr>
          <w:rFonts w:cs="Times New Roman"/>
          <w:b/>
          <w:sz w:val="28"/>
          <w:szCs w:val="28"/>
        </w:rPr>
        <w:t>участникам конкурса:</w:t>
      </w:r>
    </w:p>
    <w:p>
      <w:pPr>
        <w:pStyle w:val="Normal"/>
        <w:suppressAutoHyphens w:val="false"/>
        <w:ind w:left="0" w:righ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 участию в конкурсе допускаются молодые ученые, соответствующие                      на день подачи заявления следующим требованиям:</w:t>
      </w:r>
    </w:p>
    <w:p>
      <w:pPr>
        <w:pStyle w:val="Style21"/>
        <w:suppressAutoHyphens w:val="false"/>
        <w:ind w:left="0" w:righ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а) имеют гражданство Российской Федерации;</w:t>
      </w:r>
    </w:p>
    <w:p>
      <w:pPr>
        <w:pStyle w:val="Style21"/>
        <w:suppressAutoHyphens w:val="false"/>
        <w:ind w:left="0" w:righ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б) н</w:t>
      </w:r>
      <w:r>
        <w:rPr/>
        <w:t>аличие ученой степени кандидата наук (возраст не более 35 лет) или доктора наук (возраст не более 40 лет);</w:t>
      </w:r>
    </w:p>
    <w:p>
      <w:pPr>
        <w:pStyle w:val="Style21"/>
        <w:suppressAutoHyphens w:val="false"/>
        <w:ind w:left="0" w:right="0" w:firstLine="709"/>
        <w:jc w:val="both"/>
        <w:rPr>
          <w:rFonts w:cs="Times New Roman"/>
          <w:sz w:val="28"/>
          <w:szCs w:val="28"/>
        </w:rPr>
      </w:pPr>
      <w:r>
        <w:rPr/>
        <w:t>в) осуществляют трудовую деятельность в должности научного, научно-педагогического или научно-технического работника в научных организациях, образовательных организациях высшего образования или дополнительного профессионального образования в Республике Татарстан по основному месту работы на условиях полной занятости не менее пяти лет;</w:t>
      </w:r>
    </w:p>
    <w:p>
      <w:pPr>
        <w:pStyle w:val="Normal"/>
        <w:suppressAutoHyphens w:val="false"/>
        <w:ind w:left="0"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г) состоят на учете в качестве нуждающихся в улучшении жилищных условий в системе социальной ипотеки в порядке, установленном постановлениями Кабинета Министров Республики Татарстан от 15.04.2005 № 190 «Об утверждении Правил и порядка постановки на учет нуждающихся в улучшении жилищных условий в системе социальной ипотеки в Республике Татарстан», от 13.07.2020 № 587 «Об утверждении Порядка предоставления жилых помещений молодым семьям, нуждающимся в улучшении жилищных условий в системе социальной ипотеки в Республике Татарстан»; </w:t>
      </w:r>
    </w:p>
    <w:p>
      <w:pPr>
        <w:pStyle w:val="Normal"/>
        <w:suppressAutoHyphens w:val="false"/>
        <w:ind w:left="0" w:right="0" w:firstLine="709"/>
        <w:jc w:val="both"/>
        <w:rPr/>
      </w:pPr>
      <w:r>
        <w:rPr>
          <w:rFonts w:cs="Times New Roman"/>
          <w:color w:val="0D0D0D"/>
          <w:sz w:val="28"/>
          <w:szCs w:val="28"/>
        </w:rPr>
        <w:t>д</w:t>
      </w:r>
      <w:r>
        <w:rPr>
          <w:rFonts w:cs="Times New Roman"/>
          <w:sz w:val="28"/>
          <w:szCs w:val="28"/>
        </w:rPr>
        <w:t xml:space="preserve">) состоят в реестре специализированной </w:t>
      </w:r>
      <w:r>
        <w:rPr>
          <w:sz w:val="28"/>
          <w:szCs w:val="28"/>
        </w:rPr>
        <w:t>организации и заключили договор социальной ипотеки (договор целевого денежного займа) со специализированной организацией;</w:t>
      </w:r>
    </w:p>
    <w:p>
      <w:pPr>
        <w:pStyle w:val="Normal"/>
        <w:suppressAutoHyphens w:val="false"/>
        <w:ind w:left="0" w:righ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е) имеют научные достижения и личный вклад в развитие науки Республики Татарстан;</w:t>
      </w:r>
    </w:p>
    <w:p>
      <w:pPr>
        <w:pStyle w:val="Normal"/>
        <w:suppressAutoHyphens w:val="false"/>
        <w:ind w:left="0" w:righ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г) не находятся в перечне организаций и физических лиц, в отношении которых имеются сведения об их причастности к экстремистской деятельности или терроризму;</w:t>
      </w:r>
    </w:p>
    <w:p>
      <w:pPr>
        <w:pStyle w:val="Normal"/>
        <w:suppressAutoHyphens w:val="false"/>
        <w:ind w:left="0" w:righ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ж) не находятся в составляемых в рамках реализации полномочий, предусмотренных главой VII Устава ООН, Советом Безопасности ООН или органами, специально созданными решениями Совета Безопасности ООН, перечнях организаций и физических лиц, связанных с террористическими организациями и террористами или с распространением оружия массового уничтожения;</w:t>
      </w:r>
    </w:p>
    <w:p>
      <w:pPr>
        <w:pStyle w:val="Normal"/>
        <w:suppressAutoHyphens w:val="false"/>
        <w:ind w:left="0" w:righ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з) не являются иностранным агентом в соответствии с Федеральным законом от 14 июля 2022 года № 255-ФЗ «О контроле за деятельностью лиц, находящихся под иностранным влиянием»;</w:t>
      </w:r>
    </w:p>
    <w:p>
      <w:pPr>
        <w:pStyle w:val="Normal"/>
        <w:suppressAutoHyphens w:val="false"/>
        <w:ind w:left="0" w:righ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и) в отношении их не введена процедура банкротства в порядке, предусмотренном законодательством Российской Федерации;</w:t>
      </w:r>
    </w:p>
    <w:p>
      <w:pPr>
        <w:pStyle w:val="Normal"/>
        <w:suppressAutoHyphens w:val="false"/>
        <w:ind w:left="0" w:righ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к) не имеют неисполненных финансовых обязательств в иных федеральных программах и (или) республиканских программах по обеспечению жильем отдельных категорий граждан;</w:t>
      </w:r>
    </w:p>
    <w:p>
      <w:pPr>
        <w:pStyle w:val="Normal"/>
        <w:suppressAutoHyphens w:val="false"/>
        <w:ind w:left="0" w:righ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л) на едином налоговом счете отсутствует или не превышает размер, определенный пунктом 3 статьи 47 Налогового кодекса Российской Федерации, задолженность по уплате налогов, сборов и страховых взносов в бюджеты бюджетной системы Российской Федерации на 1 число месяца, в котором молодым ученым для участия в конкурсе подано заявление;</w:t>
      </w:r>
    </w:p>
    <w:p>
      <w:pPr>
        <w:pStyle w:val="ConsPlusNormal1"/>
        <w:ind w:left="0" w:right="0" w:firstLine="709"/>
        <w:jc w:val="both"/>
        <w:rPr/>
      </w:pPr>
      <w:r>
        <w:rPr>
          <w:b/>
        </w:rPr>
        <w:t>Перечень документов для участия в конкурсе</w:t>
      </w:r>
      <w:r>
        <w:rPr/>
        <w:t>:</w:t>
      </w:r>
    </w:p>
    <w:p>
      <w:pPr>
        <w:pStyle w:val="4O4rz4444"/>
        <w:tabs>
          <w:tab w:val="clear" w:pos="720"/>
          <w:tab w:val="left" w:pos="1132" w:leader="none"/>
        </w:tabs>
        <w:suppressAutoHyphens w:val="false"/>
        <w:spacing w:lineRule="auto" w:line="240" w:before="0" w:after="0"/>
        <w:ind w:left="0" w:righ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а) </w:t>
      </w:r>
      <w:r>
        <w:rPr>
          <w:rFonts w:cs="Times New Roman" w:ascii="Times New Roman" w:hAnsi="Times New Roman"/>
          <w:bCs/>
          <w:sz w:val="28"/>
          <w:szCs w:val="28"/>
        </w:rPr>
        <w:t>заявление на конкурс</w:t>
      </w:r>
      <w:r>
        <w:rPr>
          <w:rFonts w:cs="Times New Roman" w:ascii="Times New Roman" w:hAnsi="Times New Roman"/>
          <w:sz w:val="28"/>
          <w:szCs w:val="28"/>
        </w:rPr>
        <w:t xml:space="preserve"> по установленной форме;</w:t>
      </w:r>
    </w:p>
    <w:p>
      <w:pPr>
        <w:pStyle w:val="Normal"/>
        <w:suppressAutoHyphens w:val="false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копия документа, удостоверяющего личность гражданина;</w:t>
      </w:r>
    </w:p>
    <w:p>
      <w:pPr>
        <w:pStyle w:val="Normal"/>
        <w:suppressAutoHyphens w:val="false"/>
        <w:ind w:left="0" w:right="0" w:firstLine="709"/>
        <w:jc w:val="both"/>
        <w:rPr/>
      </w:pPr>
      <w:r>
        <w:rPr>
          <w:sz w:val="28"/>
          <w:szCs w:val="28"/>
        </w:rPr>
        <w:t>в) копия трудовой книжки, заверенная надлежащим образом, и (или) сведения о трудовой деятельности, полученные в установленном статьей 66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Трудового кодекса Российской Федерации порядке</w:t>
      </w:r>
      <w:r>
        <w:rPr>
          <w:color w:val="0D0D0D"/>
          <w:sz w:val="28"/>
          <w:szCs w:val="28"/>
        </w:rPr>
        <w:t>;</w:t>
      </w:r>
    </w:p>
    <w:p>
      <w:pPr>
        <w:pStyle w:val="Normal"/>
        <w:suppressAutoHyphens w:val="false"/>
        <w:ind w:left="0" w:right="0" w:firstLine="709"/>
        <w:jc w:val="both"/>
        <w:rPr/>
      </w:pPr>
      <w:r>
        <w:rPr>
          <w:sz w:val="28"/>
          <w:szCs w:val="28"/>
        </w:rPr>
        <w:t xml:space="preserve">г) справка с места работы молодого ученого, выданная не ранее чем за 15 календарных дней до даты подачи заявления, с реквизитами организации, включающая сведения о должности и стаже работы в указанной должности, подписанная на бумажном носителе руководителем организации или его </w:t>
      </w:r>
      <w:r>
        <w:rPr>
          <w:color w:val="0D0D0D"/>
          <w:sz w:val="28"/>
          <w:szCs w:val="28"/>
        </w:rPr>
        <w:t>заместителем и заверенная печатью организации;</w:t>
      </w:r>
    </w:p>
    <w:p>
      <w:pPr>
        <w:pStyle w:val="Normal"/>
        <w:suppressAutoHyphens w:val="false"/>
        <w:ind w:left="0" w:right="0" w:firstLine="709"/>
        <w:jc w:val="both"/>
        <w:rPr/>
      </w:pPr>
      <w:r>
        <w:rPr>
          <w:color w:val="0D0D0D"/>
          <w:sz w:val="28"/>
          <w:szCs w:val="28"/>
        </w:rPr>
        <w:t>д) копия свидетельства о присвоении идентификационного номера налогоплательщика</w:t>
      </w:r>
      <w:r>
        <w:rPr>
          <w:sz w:val="28"/>
          <w:szCs w:val="28"/>
        </w:rPr>
        <w:t>, либо копия свидетельства о постановке на учет в налоговом органе, либо копия уведомления о постановке на учет в налоговом органе, выданного в соответствии с законодательством Российской Федерации о налогах и сборах;</w:t>
      </w:r>
    </w:p>
    <w:p>
      <w:pPr>
        <w:pStyle w:val="Normal"/>
        <w:suppressAutoHyphens w:val="false"/>
        <w:ind w:left="0" w:right="0" w:firstLine="709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е) копия документа, подтверждающего наличие ученой степени, заверенная надлежащим образом; </w:t>
      </w:r>
    </w:p>
    <w:p>
      <w:pPr>
        <w:pStyle w:val="Normal"/>
        <w:suppressAutoHyphens w:val="false"/>
        <w:ind w:left="0" w:right="0" w:firstLine="709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ж) расчет оценки результативности научной деятельности, произведенный  и оформленный в соответствии с приказом Министерства науки и высшего образования Российской Федерации от 11 сентября 2023 г. № 887 «Об утверждении Методики оценки результативности научной деятельности молодых ученых научных организаций и образовательных организаций высшего образования» и заверенный руководителем организации, в которой молодой ученый осуществляет трудовую деятельность в должности научного, научно-педагогического или научно-технического работника;</w:t>
      </w:r>
    </w:p>
    <w:p>
      <w:pPr>
        <w:pStyle w:val="Normal"/>
        <w:suppressAutoHyphens w:val="false"/>
        <w:ind w:left="0" w:right="0" w:firstLine="709"/>
        <w:jc w:val="both"/>
        <w:rPr/>
      </w:pPr>
      <w:r>
        <w:rPr>
          <w:sz w:val="28"/>
          <w:szCs w:val="28"/>
        </w:rPr>
        <w:t xml:space="preserve">з) </w:t>
      </w:r>
      <w:r>
        <w:rPr>
          <w:sz w:val="28"/>
        </w:rPr>
        <w:t>копия распоряжения, утвержденного руководителем органа местного самоуправления, о постановке на учет нуждающихся в улучшении жилищных условий в системе социальной ипотеки;</w:t>
      </w:r>
    </w:p>
    <w:p>
      <w:pPr>
        <w:pStyle w:val="Normal"/>
        <w:suppressAutoHyphens w:val="false"/>
        <w:ind w:left="0" w:righ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и) копия заверенного специализированной организацией договора социальной ипотеки, заключенного молодым ученым со специализированной организацией;</w:t>
      </w:r>
    </w:p>
    <w:p>
      <w:pPr>
        <w:pStyle w:val="Normal"/>
        <w:suppressAutoHyphens w:val="false"/>
        <w:ind w:left="0" w:right="0" w:firstLine="709"/>
        <w:jc w:val="both"/>
        <w:rPr/>
      </w:pPr>
      <w:r>
        <w:rPr>
          <w:sz w:val="28"/>
          <w:szCs w:val="28"/>
        </w:rPr>
        <w:t>к) справка, выданная специализированной организацией на дату подачи документов для участия в конкурсе, о том, что молодой ученый состоит в реестре специализированной организации</w:t>
      </w:r>
      <w:r>
        <w:rPr>
          <w:sz w:val="28"/>
        </w:rPr>
        <w:t>, по форме, утвержденной специализированной организацией, а в случае использования гранта на цели, предусмотренные подпунктами «б» и «в» предоставления гранта, справка, выданная специализированной организацией на дату подачи документов для участия в конкурсе, с указанием размера остатка стоимости неоплаченной части жилого помещения, предоставленного по договору социальной ипотеки, заключенному со специализированной организацией, или остатка неоплаченной суммы основного долга и процентов по договору целевого денежного займа, заключенному со специализированной организацией, по форме, утвержденной специализированной организацией;</w:t>
      </w:r>
    </w:p>
    <w:p>
      <w:pPr>
        <w:pStyle w:val="Normal"/>
        <w:suppressAutoHyphens w:val="false"/>
        <w:ind w:left="0" w:right="0" w:firstLine="709"/>
        <w:jc w:val="both"/>
        <w:rPr>
          <w:sz w:val="28"/>
        </w:rPr>
      </w:pPr>
      <w:r>
        <w:rPr>
          <w:sz w:val="28"/>
        </w:rPr>
        <w:t>л) справка налогового органа о том, что на 1 число месяца, в котором молодым ученым для участия в конкурсе подано заявление, у молодого ученого на едином налоговом счете отсутствует или не превышает размер, определенный пунктом 3 статьи 47 Налогового кодекса Российской Федерации, задолженность по уплате налогов, сборов и страховых взносов в бюджеты бюджетной системы Российской Федерации;</w:t>
      </w:r>
    </w:p>
    <w:p>
      <w:pPr>
        <w:pStyle w:val="Normal"/>
        <w:suppressAutoHyphens w:val="false"/>
        <w:spacing w:lineRule="auto" w:line="228"/>
        <w:ind w:left="0" w:right="0" w:firstLine="709"/>
        <w:jc w:val="both"/>
        <w:rPr/>
      </w:pPr>
      <w:r>
        <w:rPr>
          <w:color w:val="0D0D0D"/>
          <w:sz w:val="28"/>
          <w:szCs w:val="28"/>
        </w:rPr>
        <w:t>м) письмо-ходатайство, составленное в произвольной форме, подписанное руководителем организации, в которой молодой ученый осуществляет трудовую деятельность в должности научного, научно-педагогического или научно-технического работника, содержащее сведения о научных достижениях и личном вкладе молодого ученого в развитие науки Республики Татарстан.</w:t>
      </w:r>
      <w:r>
        <w:rPr/>
        <w:t xml:space="preserve"> </w:t>
      </w:r>
      <w:r>
        <w:rPr>
          <w:color w:val="0D0D0D"/>
          <w:sz w:val="28"/>
          <w:szCs w:val="28"/>
        </w:rPr>
        <w:t>К письму-ходатайству прилагаются при наличии опубликованные либо обнародованные иным способом научные исследования или разработки, за выполнение которых молодой ученый выдвигается на получение гранта;</w:t>
      </w:r>
    </w:p>
    <w:p>
      <w:pPr>
        <w:pStyle w:val="Normal"/>
        <w:suppressAutoHyphens w:val="false"/>
        <w:spacing w:lineRule="auto" w:line="228"/>
        <w:ind w:left="0" w:right="0" w:firstLine="709"/>
        <w:jc w:val="both"/>
        <w:rPr/>
      </w:pPr>
      <w:r>
        <w:rPr>
          <w:rFonts w:cs="Times New Roman"/>
          <w:color w:val="0D0D0D"/>
          <w:sz w:val="28"/>
          <w:szCs w:val="28"/>
        </w:rPr>
        <w:t xml:space="preserve">н) </w:t>
      </w:r>
      <w:r>
        <w:rPr>
          <w:rFonts w:cs="Times New Roman"/>
          <w:sz w:val="28"/>
          <w:szCs w:val="28"/>
        </w:rPr>
        <w:t>согласие молодого ученого на обработку персональных данных по установленной форме.</w:t>
      </w:r>
    </w:p>
    <w:p>
      <w:pPr>
        <w:pStyle w:val="ConsPlusNormal1"/>
        <w:spacing w:before="0" w:after="0"/>
        <w:ind w:left="0" w:right="0" w:firstLine="709"/>
        <w:contextualSpacing/>
        <w:jc w:val="both"/>
        <w:rPr/>
      </w:pPr>
      <w:r>
        <w:rPr>
          <w:rFonts w:cs="Times New Roman"/>
          <w:b w:val="false"/>
          <w:bCs w:val="false"/>
          <w:color w:val="0D0D0D"/>
          <w:sz w:val="28"/>
          <w:szCs w:val="28"/>
        </w:rPr>
        <w:t xml:space="preserve">Бланки необходимых документов для участия в конкурсе на получение грантов на улучшение жилищных условий молодых ученых можно скачать, пройдя по ссылке </w:t>
      </w:r>
      <w:r>
        <w:rPr>
          <w:rStyle w:val="-"/>
          <w:rFonts w:cs="Times New Roman"/>
          <w:b w:val="false"/>
          <w:bCs w:val="false"/>
          <w:color w:val="0D0D0D"/>
          <w:sz w:val="28"/>
          <w:szCs w:val="28"/>
        </w:rPr>
        <w:t>https://minmol.tatarstan.ru/granti-na-uluchshenie-zhilishchnih-usloviy.htm</w:t>
      </w:r>
    </w:p>
    <w:p>
      <w:pPr>
        <w:pStyle w:val="ConsPlusNormal1"/>
        <w:ind w:left="0" w:right="0" w:firstLine="709"/>
        <w:jc w:val="both"/>
        <w:rPr>
          <w:b/>
        </w:rPr>
      </w:pPr>
      <w:r>
        <w:rPr>
          <w:b/>
        </w:rPr>
        <w:t>Порядок подачи заявлений на конкурс и требования, предъявляемые к документам, представляемым молодыми учеными</w:t>
      </w:r>
      <w:r>
        <w:rPr>
          <w:b/>
          <w:bCs/>
        </w:rPr>
        <w:t xml:space="preserve"> на конкурс</w:t>
      </w:r>
      <w:r>
        <w:rPr>
          <w:b/>
        </w:rPr>
        <w:t>:</w:t>
      </w:r>
    </w:p>
    <w:p>
      <w:pPr>
        <w:pStyle w:val="ConsPlusNormal1"/>
        <w:ind w:left="0" w:right="0" w:firstLine="709"/>
        <w:jc w:val="both"/>
        <w:rPr>
          <w:b/>
        </w:rPr>
      </w:pPr>
      <w:r>
        <w:rPr>
          <w:rFonts w:eastAsia="Times New Roman" w:cs="Times New Roman"/>
          <w:color w:val="auto"/>
          <w:kern w:val="0"/>
          <w:sz w:val="28"/>
          <w:szCs w:val="28"/>
          <w:lang w:val="ru-RU" w:eastAsia="ru-RU" w:bidi="ru-RU"/>
        </w:rPr>
        <w:t>Прием и регистрация документов для участия в конкурсе осуществляются</w:t>
      </w:r>
      <w:r>
        <w:rPr>
          <w:rFonts w:cs="Times New Roman"/>
          <w:sz w:val="28"/>
          <w:szCs w:val="28"/>
        </w:rPr>
        <w:t xml:space="preserve"> по адресу: 420021, г.Казань, ул.Сафьян, д.5, каб.307 (Министерство по делам молодежи Республики Татарстан) в рабочее время: пн-пт с 9:00 до 18:00, обед с 12:00 до 12:45. и на адрес электронной почты: mdmrt@tatar.ru с пометкой «На конкурс грантов Республики Татарстан </w:t>
      </w:r>
      <w:r>
        <w:rPr>
          <w:rFonts w:cs="Times New Roman"/>
          <w:sz w:val="28"/>
          <w:szCs w:val="28"/>
          <w:lang w:bidi="ru-RU"/>
        </w:rPr>
        <w:t>на улучшение жилищных условий</w:t>
      </w:r>
      <w:r>
        <w:rPr>
          <w:rFonts w:cs="Times New Roman"/>
          <w:sz w:val="28"/>
          <w:szCs w:val="28"/>
        </w:rPr>
        <w:t xml:space="preserve"> молодых ученых Республики Татарстан».</w:t>
      </w:r>
    </w:p>
    <w:p>
      <w:pPr>
        <w:pStyle w:val="Normal"/>
        <w:suppressAutoHyphens w:val="false"/>
        <w:spacing w:lineRule="auto" w:line="228"/>
        <w:ind w:left="0" w:right="0" w:firstLine="709"/>
        <w:jc w:val="both"/>
        <w:rPr/>
      </w:pPr>
      <w:r>
        <w:rPr>
          <w:rFonts w:cs="Times New Roman"/>
          <w:sz w:val="28"/>
          <w:szCs w:val="28"/>
        </w:rPr>
        <w:t xml:space="preserve">Номера телефонов для  консультаций: </w:t>
      </w:r>
    </w:p>
    <w:p>
      <w:pPr>
        <w:pStyle w:val="Normal"/>
        <w:suppressAutoHyphens w:val="false"/>
        <w:spacing w:lineRule="auto" w:line="228"/>
        <w:ind w:left="0" w:right="0" w:firstLine="709"/>
        <w:jc w:val="both"/>
        <w:rPr/>
      </w:pPr>
      <w:r>
        <w:rPr>
          <w:rFonts w:cs="Times New Roman"/>
          <w:sz w:val="28"/>
          <w:szCs w:val="28"/>
        </w:rPr>
        <w:t xml:space="preserve">Галаветдинова Миляуша Кадыровна 8(843)222-92-06; </w:t>
      </w:r>
    </w:p>
    <w:p>
      <w:pPr>
        <w:pStyle w:val="Normal"/>
        <w:suppressAutoHyphens w:val="false"/>
        <w:spacing w:lineRule="auto" w:line="228"/>
        <w:ind w:left="0" w:right="0" w:firstLine="709"/>
        <w:jc w:val="both"/>
        <w:rPr/>
      </w:pPr>
      <w:r>
        <w:rPr>
          <w:rFonts w:cs="Times New Roman"/>
          <w:sz w:val="28"/>
          <w:szCs w:val="28"/>
        </w:rPr>
        <w:t>Суюнова Луиза Фатыховна - 8(843)222-91-79.</w:t>
      </w:r>
    </w:p>
    <w:p>
      <w:pPr>
        <w:pStyle w:val="S1"/>
        <w:shd w:val="clear" w:color="auto" w:fill="FFFFFF"/>
        <w:spacing w:beforeAutospacing="0" w:before="0" w:afterAutospacing="0" w:after="0"/>
        <w:ind w:firstLine="567"/>
        <w:jc w:val="both"/>
        <w:rPr>
          <w:color w:val="000000" w:themeColor="text1"/>
        </w:rPr>
      </w:pPr>
      <w:r>
        <w:rPr>
          <w:rFonts w:cs="Times New Roman"/>
          <w:color w:val="000000" w:themeColor="text1"/>
          <w:sz w:val="28"/>
          <w:szCs w:val="28"/>
        </w:rPr>
        <w:t>Все документы, представляемые при подаче заявления, должны быть четко напечатаны и заполнены по всем пунктам (в случае отсутствия данных ставится прочерк). Подчистки и исправления не допускаются, за исключением исправлений, скрепленных печатью (при наличии) и заверенных подписью руководителя некоммерческой организации или уполномоченного им лица.</w:t>
      </w:r>
    </w:p>
    <w:p>
      <w:pPr>
        <w:pStyle w:val="Normal"/>
        <w:suppressAutoHyphens w:val="false"/>
        <w:spacing w:lineRule="auto" w:line="228"/>
        <w:ind w:left="0" w:right="0" w:firstLine="709"/>
        <w:jc w:val="both"/>
        <w:rPr>
          <w:rFonts w:ascii="Times New Roman" w:hAnsi="Times New Roman" w:eastAsia="Times New Roman" w:cs="Times New Roman"/>
          <w:color w:val="auto"/>
          <w:kern w:val="0"/>
          <w:sz w:val="28"/>
          <w:szCs w:val="28"/>
          <w:lang w:val="ru-RU" w:eastAsia="ru-RU" w:bidi="ru-RU"/>
        </w:rPr>
      </w:pPr>
      <w:r>
        <w:rPr>
          <w:rFonts w:eastAsia="Times New Roman" w:cs="Times New Roman"/>
          <w:color w:val="auto"/>
          <w:kern w:val="0"/>
          <w:sz w:val="28"/>
          <w:szCs w:val="28"/>
          <w:lang w:val="ru-RU" w:eastAsia="ru-RU" w:bidi="ru-RU"/>
        </w:rPr>
        <w:t>Заявлениям для участия в конкурсе присваиваются регистрационные номера. Документам, поступившим в один день, регистрационные номера присваиваются с учетом времени их поступления. Документы для участия в конкурсе, направленные с нарушением срока их приема не регистрируются и не рассматриваются. Дополнение и (или) замена документов для участия в конкурсе могут быть осуществлены не позднее окончания срока их прием при этом новый регистрационный номер таким документам не присваивается, а они приобщаются к ранее направленным документам для участия в конкурсе.</w:t>
      </w:r>
    </w:p>
    <w:p>
      <w:pPr>
        <w:pStyle w:val="Normal"/>
        <w:suppressAutoHyphens w:val="false"/>
        <w:spacing w:lineRule="auto" w:line="228"/>
        <w:ind w:left="0" w:right="0" w:firstLine="709"/>
        <w:jc w:val="both"/>
        <w:rPr>
          <w:rFonts w:ascii="Times New Roman" w:hAnsi="Times New Roman" w:eastAsia="Times New Roman" w:cs="Times New Roman"/>
          <w:color w:val="auto"/>
          <w:kern w:val="0"/>
          <w:sz w:val="28"/>
          <w:szCs w:val="28"/>
          <w:lang w:val="ru-RU" w:eastAsia="ru-RU" w:bidi="ru-RU"/>
        </w:rPr>
      </w:pPr>
      <w:r>
        <w:rPr>
          <w:rFonts w:eastAsia="Times New Roman" w:cs="Times New Roman"/>
          <w:color w:val="auto"/>
          <w:kern w:val="0"/>
          <w:sz w:val="28"/>
          <w:szCs w:val="28"/>
          <w:lang w:val="ru-RU" w:eastAsia="ru-RU" w:bidi="ru-RU"/>
        </w:rPr>
        <w:t>Основаниями для отказа в допуске молодого ученого к конкурсу являются:</w:t>
      </w:r>
    </w:p>
    <w:p>
      <w:pPr>
        <w:pStyle w:val="Normal"/>
        <w:suppressAutoHyphens w:val="false"/>
        <w:spacing w:lineRule="auto" w:line="228"/>
        <w:ind w:left="0" w:right="0" w:firstLine="709"/>
        <w:jc w:val="both"/>
        <w:rPr>
          <w:rFonts w:ascii="Times New Roman" w:hAnsi="Times New Roman" w:eastAsia="Times New Roman" w:cs="Times New Roman"/>
          <w:color w:val="auto"/>
          <w:kern w:val="0"/>
          <w:sz w:val="28"/>
          <w:szCs w:val="28"/>
          <w:lang w:val="ru-RU" w:eastAsia="ru-RU" w:bidi="ru-RU"/>
        </w:rPr>
      </w:pPr>
      <w:r>
        <w:rPr>
          <w:rFonts w:eastAsia="Times New Roman" w:cs="Times New Roman"/>
          <w:color w:val="auto"/>
          <w:kern w:val="0"/>
          <w:sz w:val="28"/>
          <w:szCs w:val="28"/>
          <w:lang w:val="ru-RU" w:eastAsia="ru-RU" w:bidi="ru-RU"/>
        </w:rPr>
        <w:t>а) непредставление или представление неполного комплекта документов для участия в конкурсе;</w:t>
      </w:r>
    </w:p>
    <w:p>
      <w:pPr>
        <w:pStyle w:val="Normal"/>
        <w:suppressAutoHyphens w:val="false"/>
        <w:spacing w:lineRule="auto" w:line="228"/>
        <w:ind w:left="0" w:right="0" w:firstLine="709"/>
        <w:jc w:val="both"/>
        <w:rPr>
          <w:rFonts w:ascii="Times New Roman" w:hAnsi="Times New Roman" w:eastAsia="Times New Roman" w:cs="Times New Roman"/>
          <w:color w:val="auto"/>
          <w:kern w:val="0"/>
          <w:sz w:val="28"/>
          <w:szCs w:val="28"/>
          <w:lang w:val="ru-RU" w:eastAsia="ru-RU" w:bidi="ru-RU"/>
        </w:rPr>
      </w:pPr>
      <w:r>
        <w:rPr>
          <w:rFonts w:eastAsia="Times New Roman" w:cs="Times New Roman"/>
          <w:color w:val="auto"/>
          <w:kern w:val="0"/>
          <w:sz w:val="28"/>
          <w:szCs w:val="28"/>
          <w:lang w:val="ru-RU" w:eastAsia="ru-RU" w:bidi="ru-RU"/>
        </w:rPr>
        <w:t>б) выявление недостоверности сведений, содержащихся в представленных документах для участия в конкурсе;</w:t>
      </w:r>
    </w:p>
    <w:p>
      <w:pPr>
        <w:pStyle w:val="Normal"/>
        <w:suppressAutoHyphens w:val="false"/>
        <w:spacing w:lineRule="auto" w:line="228"/>
        <w:ind w:left="0" w:right="0" w:firstLine="709"/>
        <w:jc w:val="both"/>
        <w:rPr>
          <w:rFonts w:ascii="Times New Roman" w:hAnsi="Times New Roman" w:eastAsia="Times New Roman" w:cs="Times New Roman"/>
          <w:color w:val="auto"/>
          <w:kern w:val="0"/>
          <w:sz w:val="28"/>
          <w:szCs w:val="28"/>
          <w:lang w:val="ru-RU" w:eastAsia="ru-RU" w:bidi="ru-RU"/>
        </w:rPr>
      </w:pPr>
      <w:r>
        <w:rPr>
          <w:rFonts w:eastAsia="Times New Roman" w:cs="Times New Roman"/>
          <w:color w:val="auto"/>
          <w:kern w:val="0"/>
          <w:sz w:val="28"/>
          <w:szCs w:val="28"/>
          <w:lang w:val="ru-RU" w:eastAsia="ru-RU" w:bidi="ru-RU"/>
        </w:rPr>
        <w:t>в) несоответствие молодого ученого требованиям, предъявляемым к участникам конкурса</w:t>
      </w:r>
    </w:p>
    <w:p>
      <w:pPr>
        <w:pStyle w:val="Normal"/>
        <w:suppressAutoHyphens w:val="false"/>
        <w:spacing w:lineRule="auto" w:line="228"/>
        <w:ind w:left="0" w:right="0" w:firstLine="709"/>
        <w:jc w:val="both"/>
        <w:rPr>
          <w:rFonts w:ascii="Times New Roman" w:hAnsi="Times New Roman" w:eastAsia="Times New Roman" w:cs="Times New Roman"/>
          <w:color w:val="auto"/>
          <w:kern w:val="0"/>
          <w:sz w:val="28"/>
          <w:szCs w:val="28"/>
          <w:lang w:val="ru-RU" w:eastAsia="ru-RU" w:bidi="ru-RU"/>
        </w:rPr>
      </w:pPr>
      <w:r>
        <w:rPr>
          <w:rFonts w:eastAsia="Times New Roman" w:cs="Times New Roman"/>
          <w:color w:val="auto"/>
          <w:kern w:val="0"/>
          <w:sz w:val="28"/>
          <w:szCs w:val="28"/>
          <w:lang w:val="ru-RU" w:eastAsia="ru-RU" w:bidi="ru-RU"/>
        </w:rPr>
        <w:t>Не позднее пяти рабочих дней со дня завершения проверки соответствия молодых ученых требованиям, установленным пунктом 8  Порядка, а также комплектности и соответствия представленных молодым ученым документов для участия в конкурсе требованиям, установленным пунктом 11 Порядка, ответственный секретарь конкурсной комиссии составляет список участников конкурса по установленной форме, и передает его в конкурсную комиссию вместе с документами участников конкурса.</w:t>
      </w:r>
    </w:p>
    <w:p>
      <w:pPr>
        <w:pStyle w:val="Normal"/>
        <w:suppressAutoHyphens w:val="false"/>
        <w:spacing w:lineRule="auto" w:line="228"/>
        <w:ind w:left="0" w:right="0" w:firstLine="709"/>
        <w:jc w:val="both"/>
        <w:rPr>
          <w:rFonts w:ascii="Times New Roman" w:hAnsi="Times New Roman" w:eastAsia="Times New Roman" w:cs="Times New Roman"/>
          <w:color w:val="auto"/>
          <w:kern w:val="0"/>
          <w:sz w:val="28"/>
          <w:szCs w:val="28"/>
          <w:lang w:val="ru-RU" w:eastAsia="ru-RU" w:bidi="ru-RU"/>
        </w:rPr>
      </w:pPr>
      <w:r>
        <w:rPr>
          <w:rFonts w:eastAsia="Times New Roman" w:cs="Times New Roman"/>
          <w:color w:val="auto"/>
          <w:kern w:val="0"/>
          <w:sz w:val="28"/>
          <w:szCs w:val="28"/>
          <w:lang w:val="ru-RU" w:eastAsia="ru-RU" w:bidi="ru-RU"/>
        </w:rPr>
        <w:t>Молодые ученые, не допущенные к участию в конкурсе, извещаются об этом ответственным секретарем конкурсной комиссии не позднее пяти рабочих дней со дня передачи им списка участников конкурса в конкурсную комиссию путем направления извещения на адрес электронной почты молодого ученого, не допущенного к участию в конкурсе, указанный в заявлении.</w:t>
      </w:r>
    </w:p>
    <w:p>
      <w:pPr>
        <w:pStyle w:val="ConsPlusNormal1"/>
        <w:spacing w:before="0" w:after="0"/>
        <w:ind w:left="0" w:right="0" w:firstLine="709"/>
        <w:contextualSpacing/>
        <w:jc w:val="both"/>
        <w:rPr>
          <w:b/>
          <w:bCs/>
        </w:rPr>
      </w:pPr>
      <w:r>
        <w:rPr>
          <w:b/>
          <w:bCs/>
        </w:rPr>
        <w:t>Условия, порядок и сроки перечисления гранта:</w:t>
      </w:r>
    </w:p>
    <w:p>
      <w:pPr>
        <w:pStyle w:val="ConsPlusNormal1"/>
        <w:spacing w:before="0" w:after="0"/>
        <w:ind w:left="0" w:right="0" w:firstLine="709"/>
        <w:contextualSpacing/>
        <w:jc w:val="both"/>
        <w:rPr>
          <w:b/>
        </w:rPr>
      </w:pPr>
      <w:r>
        <w:rPr/>
        <w:t>Победитель конкурса, грантодатель и организация в течение 10 рабочих дней со дня размещения списка победителей на сайте грантодателя обязаны заключить договор о предоставлении гранта.</w:t>
      </w:r>
    </w:p>
    <w:p>
      <w:pPr>
        <w:pStyle w:val="ConsPlusNormal1"/>
        <w:spacing w:before="0" w:after="0"/>
        <w:ind w:left="0" w:right="0" w:firstLine="709"/>
        <w:contextualSpacing/>
        <w:jc w:val="both"/>
        <w:rPr>
          <w:b/>
        </w:rPr>
      </w:pPr>
      <w:r>
        <w:rPr/>
        <w:t>Победитель конкурса, не подписавший со своей стороны договор о предоставлении гранта в срок, установленный абзацем первым настоящего пункта, признается уклонившимся от его заключения и утрачивает право на получение (использование) гранта.</w:t>
      </w:r>
    </w:p>
    <w:p>
      <w:pPr>
        <w:pStyle w:val="ConsPlusNormal1"/>
        <w:spacing w:before="0" w:after="0"/>
        <w:ind w:left="0" w:right="0" w:firstLine="709"/>
        <w:contextualSpacing/>
        <w:jc w:val="both"/>
        <w:rPr>
          <w:b/>
        </w:rPr>
      </w:pPr>
      <w:r>
        <w:rPr/>
        <w:t>Решение о признании победителя конкурса, уклонившимся от заключения договора о предоставлении гранта принимается и издается грантодателем в течение 10 рабочих дней по истечении срока, указанного в абзаце первом настоящего пункта, в форме распоряжения, которое направляется конкурсной комиссии,  организации и победителю конкурса, признанному уклонившимся от заключения договора о предоставлении гранта.</w:t>
      </w:r>
    </w:p>
    <w:p>
      <w:pPr>
        <w:pStyle w:val="ConsPlusNormal1"/>
        <w:spacing w:before="0" w:after="0"/>
        <w:ind w:left="0" w:right="0" w:firstLine="709"/>
        <w:contextualSpacing/>
        <w:jc w:val="both"/>
        <w:rPr>
          <w:b/>
        </w:rPr>
      </w:pPr>
      <w:r>
        <w:rPr/>
        <w:t>Грантодатель не позднее 25 рабочих дней со дня размещения списка победителей на сайте грантодателя направляет нарочно в специализированную организацию список грантополучателей по форме, установленной соглашением.</w:t>
      </w:r>
    </w:p>
    <w:p>
      <w:pPr>
        <w:pStyle w:val="ConsPlusNormal1"/>
        <w:spacing w:before="0" w:after="0"/>
        <w:ind w:left="0" w:right="0" w:firstLine="709"/>
        <w:contextualSpacing/>
        <w:jc w:val="both"/>
        <w:rPr>
          <w:b/>
        </w:rPr>
      </w:pPr>
      <w:r>
        <w:rPr/>
        <w:t>Специализированная организация в течение 20 рабочих дней со дня получения списка грантополучателей направляет грантодателю заявку на перечисление гранта грантополучателям (далее – заявка на перечисление) по форме, установленной соглашением.</w:t>
      </w:r>
    </w:p>
    <w:p>
      <w:pPr>
        <w:pStyle w:val="ConsPlusNormal1"/>
        <w:spacing w:before="0" w:after="0"/>
        <w:ind w:left="0" w:right="0" w:firstLine="709"/>
        <w:contextualSpacing/>
        <w:jc w:val="both"/>
        <w:rPr>
          <w:b/>
        </w:rPr>
      </w:pPr>
      <w:r>
        <w:rPr/>
        <w:t>Грантодатель осуществляет перечисление гранта специализированной организации в течение 14 рабочих дней со дня получения от специализированной организации заявки на перечисление, направленной в соответствии с пунктом 26 настоящего Порядка. Зачисление гранта на лицевой счет грантополучателя осуществляется специализированной организацией в порядке и срок, установленные договором социальной ипотеки (договором целевого денежного займа), заключенным со специализированной организацией. О зачислении грантов на лицевые счета грантополучателей специализированная организация информирует грантодателя в порядке и срок, установленными соглашением.</w:t>
      </w:r>
    </w:p>
    <w:p>
      <w:pPr>
        <w:pStyle w:val="ConsPlusNormal1"/>
        <w:spacing w:before="0" w:after="0"/>
        <w:ind w:left="0" w:right="0" w:firstLine="709"/>
        <w:contextualSpacing/>
        <w:jc w:val="both"/>
        <w:rPr>
          <w:b/>
        </w:rPr>
      </w:pPr>
      <w:r>
        <w:rPr>
          <w:b/>
        </w:rPr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4" w:fontKey="{04014A78-CABC-4EF0-12AC-5CD89AEFDE04}"/>
    <w:embedBold r:id="rId5" w:fontKey="{05014A78-CABC-4EF0-12AC-5CD89AEFDE05}"/>
    <w:embedItalic r:id="rId6" w:fontKey="{06014A78-CABC-4EF0-12AC-5CD89AEFDE06}"/>
    <w:embedBoldItalic r:id="rId7" w:fontKey="{07014A78-CABC-4EF0-12AC-5CD89AEFDE07}"/>
  </w:font>
  <w:font w:name="Times New Roman">
    <w:charset w:val="01"/>
    <w:family w:val="roman"/>
    <w:pitch w:val="default"/>
    <w:embedRegular r:id="rId8" w:fontKey="{08014A78-CABC-4EF0-12AC-5CD89AEFDE08}"/>
    <w:embedBold r:id="rId9" w:fontKey="{09014A78-CABC-4EF0-12AC-5CD89AEFDE09}"/>
    <w:embedItalic r:id="rId10" w:fontKey="{0A014A78-CABC-4EF0-12AC-5CD89AEFDE0A}"/>
  </w:font>
  <w:font w:name="Times New Roman CYR">
    <w:charset w:val="01"/>
    <w:family w:val="roman"/>
    <w:pitch w:val="default"/>
    <w:embedRegular r:id="rId11" w:fontKey="{0B014A78-CABC-4EF0-12AC-5CD89AEFDE0B}"/>
    <w:embedBold r:id="rId12" w:fontKey="{0C014A78-CABC-4EF0-12AC-5CD89AEFDE0C}"/>
    <w:embedItalic r:id="rId13" w:fontKey="{0D014A78-CABC-4EF0-12AC-5CD89AEFDE0D}"/>
  </w:font>
  <w:font w:name="OpenSymbol">
    <w:altName w:val="Arial Unicode MS"/>
    <w:charset w:val="01"/>
    <w:family w:val="roman"/>
    <w:pitch w:val="default"/>
    <w:embedRegular r:id="rId14" w:fontKey="{0E014A78-CABC-4EF0-12AC-5CD89AEFDE0E}"/>
  </w:font>
  <w:font w:name="PT Astra Serif">
    <w:charset w:val="01"/>
    <w:family w:val="roman"/>
    <w:pitch w:val="default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Courier New">
    <w:charset w:val="01"/>
    <w:family w:val="roman"/>
    <w:pitch w:val="default"/>
  </w:font>
  <w:font w:name="Tahoma">
    <w:charset w:val="01"/>
    <w:family w:val="roman"/>
    <w:pitch w:val="default"/>
    <w:embedRegular r:id="rId19" w:fontKey="{13014A78-CABC-4EF0-12AC-5CD89AEFDE13}"/>
    <w:embedBold r:id="rId20" w:fontKey="{14014A78-CABC-4EF0-12AC-5CD89AEFDE14}"/>
  </w:font>
  <w:font w:name="Calibri">
    <w:charset w:val="01"/>
    <w:family w:val="roman"/>
    <w:pitch w:val="default"/>
    <w:embedRegular r:id="rId21" w:fontKey="{15014A78-CABC-4EF0-12AC-5CD89AEFDE15}"/>
    <w:embedBold r:id="rId22" w:fontKey="{16014A78-CABC-4EF0-12AC-5CD89AEFDE16}"/>
  </w:font>
</w:fonts>
</file>

<file path=word/settings.xml><?xml version="1.0" encoding="utf-8"?>
<w:settings xmlns:w="http://schemas.openxmlformats.org/wordprocessingml/2006/main">
  <w:zoom w:percent="9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1">
    <w:name w:val="Heading 1"/>
    <w:basedOn w:val="Normal"/>
    <w:next w:val="Normal"/>
    <w:qFormat/>
    <w:pPr>
      <w:keepNext w:val="true"/>
      <w:outlineLvl w:val="0"/>
    </w:pPr>
    <w:rPr>
      <w:sz w:val="24"/>
    </w:rPr>
  </w:style>
  <w:style w:type="paragraph" w:styleId="2">
    <w:name w:val="Heading 2"/>
    <w:basedOn w:val="Normal"/>
    <w:next w:val="Normal"/>
    <w:qFormat/>
    <w:pPr>
      <w:keepNext w:val="true"/>
      <w:jc w:val="right"/>
      <w:outlineLvl w:val="1"/>
    </w:pPr>
    <w:rPr>
      <w:sz w:val="28"/>
    </w:rPr>
  </w:style>
  <w:style w:type="paragraph" w:styleId="3">
    <w:name w:val="Heading 3"/>
    <w:basedOn w:val="Normal"/>
    <w:next w:val="Normal"/>
    <w:qFormat/>
    <w:pPr>
      <w:keepNext w:val="true"/>
      <w:outlineLvl w:val="2"/>
    </w:pPr>
    <w:rPr>
      <w:b/>
      <w:sz w:val="28"/>
    </w:rPr>
  </w:style>
  <w:style w:type="paragraph" w:styleId="4">
    <w:name w:val="Heading 4"/>
    <w:basedOn w:val="Normal"/>
    <w:next w:val="Normal"/>
    <w:qFormat/>
    <w:pPr>
      <w:keepNext w:val="true"/>
      <w:tabs>
        <w:tab w:val="clear" w:pos="720"/>
        <w:tab w:val="left" w:pos="426" w:leader="none"/>
      </w:tabs>
      <w:jc w:val="both"/>
      <w:outlineLvl w:val="3"/>
    </w:pPr>
    <w:rPr>
      <w:sz w:val="28"/>
    </w:rPr>
  </w:style>
  <w:style w:type="character" w:styleId="DefaultParagraphFont">
    <w:name w:val="Default Paragraph Font"/>
    <w:qFormat/>
    <w:rPr/>
  </w:style>
  <w:style w:type="character" w:styleId="-">
    <w:name w:val="Hyperlink"/>
    <w:basedOn w:val="DefaultParagraphFont"/>
    <w:rPr>
      <w:color w:val="0000FF"/>
      <w:u w:val="single"/>
    </w:rPr>
  </w:style>
  <w:style w:type="character" w:styleId="Style10">
    <w:name w:val="Основной текст_"/>
    <w:link w:val="5"/>
    <w:qFormat/>
    <w:rPr>
      <w:shd w:fill="FFFFFF" w:val="clear"/>
    </w:rPr>
  </w:style>
  <w:style w:type="character" w:styleId="ConsPlusNormal">
    <w:name w:val="ConsPlusNormal Знак"/>
    <w:link w:val="ConsPlusNormal1"/>
    <w:qFormat/>
    <w:rPr>
      <w:rFonts w:eastAsia="Calibri"/>
      <w:sz w:val="28"/>
      <w:szCs w:val="28"/>
    </w:rPr>
  </w:style>
  <w:style w:type="character" w:styleId="UnresolvedMention">
    <w:name w:val="Unresolved Mention"/>
    <w:basedOn w:val="DefaultParagraphFont"/>
    <w:qFormat/>
    <w:rPr>
      <w:color w:val="605E5C"/>
      <w:shd w:fill="E1DFDD" w:val="clear"/>
    </w:rPr>
  </w:style>
  <w:style w:type="character" w:styleId="Style11">
    <w:name w:val="FollowedHyperlink"/>
    <w:basedOn w:val="DefaultParagraphFont"/>
    <w:rPr>
      <w:color w:val="800080"/>
      <w:u w:val="single"/>
    </w:rPr>
  </w:style>
  <w:style w:type="character" w:styleId="Style12">
    <w:name w:val="Основной текст Знак"/>
    <w:basedOn w:val="DefaultParagraphFont"/>
    <w:qFormat/>
    <w:rPr>
      <w:sz w:val="28"/>
    </w:rPr>
  </w:style>
  <w:style w:type="character" w:styleId="Style13">
    <w:name w:val="Красная строка Знак"/>
    <w:basedOn w:val="Style12"/>
    <w:qFormat/>
    <w:rPr>
      <w:sz w:val="28"/>
    </w:rPr>
  </w:style>
  <w:style w:type="character" w:styleId="Style14">
    <w:name w:val="Символ сноски"/>
    <w:qFormat/>
    <w:rPr>
      <w:vertAlign w:val="superscript"/>
    </w:rPr>
  </w:style>
  <w:style w:type="character" w:styleId="Style15">
    <w:name w:val="Footnote Reference"/>
    <w:rPr>
      <w:vertAlign w:val="superscript"/>
    </w:rPr>
  </w:style>
  <w:style w:type="character" w:styleId="Style16">
    <w:name w:val="Текст сноски Знак"/>
    <w:basedOn w:val="DefaultParagraphFont"/>
    <w:qFormat/>
    <w:rPr>
      <w:rFonts w:ascii="Times New Roman CYR" w:hAnsi="Times New Roman CYR" w:eastAsia="Courier New" w:cs="Times New Roman CYR"/>
      <w:kern w:val="2"/>
    </w:rPr>
  </w:style>
  <w:style w:type="character" w:styleId="Style17">
    <w:name w:val="Символ концевой сноски"/>
    <w:qFormat/>
    <w:rPr>
      <w:vertAlign w:val="superscript"/>
    </w:rPr>
  </w:style>
  <w:style w:type="character" w:styleId="Style18">
    <w:name w:val="Endnote Reference"/>
    <w:rPr>
      <w:vertAlign w:val="superscript"/>
    </w:rPr>
  </w:style>
  <w:style w:type="character" w:styleId="Style19">
    <w:name w:val="Маркеры"/>
    <w:qFormat/>
    <w:rPr>
      <w:rFonts w:ascii="OpenSymbol" w:hAnsi="OpenSymbol" w:eastAsia="OpenSymbol" w:cs="OpenSymbol"/>
    </w:rPr>
  </w:style>
  <w:style w:type="paragraph" w:styleId="Style20">
    <w:name w:val="Заголовок"/>
    <w:basedOn w:val="Normal"/>
    <w:next w:val="Style21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21">
    <w:name w:val="Body Text"/>
    <w:basedOn w:val="Normal"/>
    <w:link w:val="Style12"/>
    <w:pPr>
      <w:jc w:val="both"/>
    </w:pPr>
    <w:rPr>
      <w:sz w:val="28"/>
    </w:rPr>
  </w:style>
  <w:style w:type="paragraph" w:styleId="Style22">
    <w:name w:val="List"/>
    <w:basedOn w:val="Style21"/>
    <w:pPr/>
    <w:rPr>
      <w:rFonts w:ascii="PT Astra Serif" w:hAnsi="PT Astra Serif" w:cs="Noto Sans Devanagari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25">
    <w:name w:val="Title"/>
    <w:basedOn w:val="Normal"/>
    <w:next w:val="Style21"/>
    <w:qFormat/>
    <w:pPr>
      <w:keepNext w:val="true"/>
      <w:spacing w:before="240" w:after="120"/>
    </w:pPr>
    <w:rPr>
      <w:rFonts w:ascii="PT Astra Serif" w:hAnsi="PT Astra Serif" w:eastAsia="DejaVu Sans" w:cs="Noto Sans Devanagari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aption11">
    <w:name w:val="caption11"/>
    <w:basedOn w:val="Normal"/>
    <w:next w:val="Normal"/>
    <w:qFormat/>
    <w:pPr>
      <w:spacing w:before="120" w:after="120"/>
    </w:pPr>
    <w:rPr>
      <w:b/>
    </w:rPr>
  </w:style>
  <w:style w:type="paragraph" w:styleId="Style26">
    <w:name w:val="Body Text Indent"/>
    <w:basedOn w:val="Style21"/>
    <w:link w:val="Style13"/>
    <w:qFormat/>
    <w:pPr>
      <w:ind w:left="0" w:right="0" w:firstLine="360"/>
      <w:jc w:val="left"/>
    </w:pPr>
    <w:rPr>
      <w:sz w:val="20"/>
    </w:rPr>
  </w:style>
  <w:style w:type="paragraph" w:styleId="Style27">
    <w:name w:val="Обращ"/>
    <w:basedOn w:val="Normal"/>
    <w:qFormat/>
    <w:pPr>
      <w:spacing w:before="0" w:after="240"/>
      <w:jc w:val="center"/>
    </w:pPr>
    <w:rPr>
      <w:b/>
      <w:sz w:val="28"/>
    </w:rPr>
  </w:style>
  <w:style w:type="paragraph" w:styleId="Style28">
    <w:name w:val="Колонтитул"/>
    <w:basedOn w:val="Normal"/>
    <w:qFormat/>
    <w:pPr/>
    <w:rPr/>
  </w:style>
  <w:style w:type="paragraph" w:styleId="Style29">
    <w:name w:val="Header"/>
    <w:basedOn w:val="Normal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30">
    <w:name w:val="Footer"/>
    <w:basedOn w:val="Normal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31">
    <w:name w:val="Адр"/>
    <w:basedOn w:val="Normal"/>
    <w:qFormat/>
    <w:pPr>
      <w:ind w:left="6237" w:right="0" w:hanging="0"/>
    </w:pPr>
    <w:rPr>
      <w:sz w:val="28"/>
    </w:rPr>
  </w:style>
  <w:style w:type="paragraph" w:styleId="11">
    <w:name w:val="Текст1"/>
    <w:basedOn w:val="Normal"/>
    <w:qFormat/>
    <w:pPr/>
    <w:rPr>
      <w:rFonts w:ascii="Courier New" w:hAnsi="Courier New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/>
  </w:style>
  <w:style w:type="paragraph" w:styleId="ConsPlusTitle">
    <w:name w:val="ConsPlusTitle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Calibri" w:hAnsi="Calibri" w:eastAsia="Times New Roman" w:cs="Calibri"/>
      <w:b/>
      <w:color w:val="auto"/>
      <w:kern w:val="0"/>
      <w:sz w:val="22"/>
      <w:szCs w:val="20"/>
      <w:lang w:val="ru-RU" w:eastAsia="ru-RU" w:bidi="ar-SA"/>
    </w:rPr>
  </w:style>
  <w:style w:type="paragraph" w:styleId="ConsPlusNormal1">
    <w:name w:val="ConsPlusNormal"/>
    <w:link w:val="ConsPlus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Calibri" w:cs="Times New Roman"/>
      <w:color w:val="auto"/>
      <w:kern w:val="0"/>
      <w:sz w:val="28"/>
      <w:szCs w:val="28"/>
      <w:lang w:val="ru-RU" w:eastAsia="ru-RU" w:bidi="ar-SA"/>
    </w:rPr>
  </w:style>
  <w:style w:type="paragraph" w:styleId="5">
    <w:name w:val="Основной текст5"/>
    <w:basedOn w:val="Normal"/>
    <w:link w:val="Style10"/>
    <w:qFormat/>
    <w:pPr>
      <w:widowControl w:val="false"/>
      <w:shd w:val="clear" w:fill="FFFFFF"/>
      <w:spacing w:lineRule="atLeast" w:line="0"/>
    </w:pPr>
    <w:rPr/>
  </w:style>
  <w:style w:type="paragraph" w:styleId="Default">
    <w:name w:val="Default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4O4rz4444">
    <w:name w:val="О4Oс4・н~?о?вr?н~?о?йz ?т・4е?4к?4с4・"/>
    <w:basedOn w:val="Normal"/>
    <w:qFormat/>
    <w:pPr>
      <w:widowControl w:val="false"/>
      <w:spacing w:lineRule="auto" w:line="276" w:before="0" w:after="140"/>
      <w:ind w:left="0" w:right="0" w:firstLine="720"/>
      <w:jc w:val="both"/>
    </w:pPr>
    <w:rPr>
      <w:rFonts w:ascii="Times New Roman CYR" w:hAnsi="Times New Roman CYR" w:eastAsia="Courier New" w:cs="Times New Roman CYR"/>
      <w:kern w:val="2"/>
      <w:sz w:val="24"/>
      <w:szCs w:val="24"/>
    </w:rPr>
  </w:style>
  <w:style w:type="paragraph" w:styleId="Style32">
    <w:name w:val="Содержимое таблицы"/>
    <w:basedOn w:val="Normal"/>
    <w:qFormat/>
    <w:pPr>
      <w:widowControl w:val="false"/>
      <w:suppressLineNumbers/>
      <w:ind w:left="0" w:right="0" w:firstLine="720"/>
      <w:jc w:val="both"/>
    </w:pPr>
    <w:rPr>
      <w:rFonts w:ascii="Times New Roman CYR" w:hAnsi="Times New Roman CYR" w:eastAsia="Courier New" w:cs="Times New Roman CYR"/>
      <w:kern w:val="2"/>
      <w:sz w:val="24"/>
      <w:szCs w:val="24"/>
    </w:rPr>
  </w:style>
  <w:style w:type="paragraph" w:styleId="Style33">
    <w:name w:val="Footnote Text"/>
    <w:basedOn w:val="Normal"/>
    <w:link w:val="Style16"/>
    <w:pPr>
      <w:widowControl w:val="false"/>
      <w:suppressLineNumbers/>
      <w:ind w:left="340" w:right="0" w:hanging="340"/>
      <w:jc w:val="both"/>
    </w:pPr>
    <w:rPr>
      <w:rFonts w:ascii="Times New Roman CYR" w:hAnsi="Times New Roman CYR" w:eastAsia="Courier New" w:cs="Times New Roman CYR"/>
      <w:kern w:val="2"/>
    </w:rPr>
  </w:style>
  <w:style w:type="paragraph" w:styleId="ConsPlusNonformat">
    <w:name w:val="ConsPlusNonformat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S1">
    <w:name w:val="s_1"/>
    <w:basedOn w:val="Normal"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Application>LibreOffice/7.5.6.2$Linux_X86_64 LibreOffice_project/50$Build-2</Application>
  <AppVersion>15.0000</AppVersion>
  <Pages>7</Pages>
  <Words>1946</Words>
  <Characters>13622</Characters>
  <CharactersWithSpaces>15603</CharactersWithSpaces>
  <Paragraphs>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2024-10-31T07:47:00Z</dcterms:created>
  <dc:creator>Вершинина</dc:creator>
  <dc:description/>
  <dc:language>ru-RU</dc:language>
  <cp:lastModifiedBy/>
  <cp:lastPrinted>2025-09-04T12:26:18Z</cp:lastPrinted>
  <dcterms:modified xsi:type="dcterms:W3CDTF">2025-09-05T10:57:54Z</dcterms:modified>
  <cp:revision>57</cp:revision>
  <dc:subject/>
  <dc:title>МИНИСТЕРСТВО ТОРГОВЛИ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