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7"/>
        <w:ind w:left="6425" w:right="216" w:hanging="6066"/>
        <w:tabs>
          <w:tab w:val="left" w:pos="6424" w:leader="none"/>
          <w:tab w:val="left" w:pos="8397" w:leader="none"/>
        </w:tabs>
      </w:pPr>
      <w:r/>
      <w:r/>
    </w:p>
    <w:p>
      <w:pPr>
        <w:pStyle w:val="717"/>
        <w:ind w:left="6425" w:right="216" w:hanging="6066"/>
        <w:jc w:val="center"/>
        <w:tabs>
          <w:tab w:val="left" w:pos="6424" w:leader="none"/>
          <w:tab w:val="left" w:pos="8397" w:leader="none"/>
        </w:tabs>
      </w:pPr>
      <w:r>
        <w:t xml:space="preserve">Согласие на обработку персональных данных</w:t>
      </w:r>
      <w:r/>
    </w:p>
    <w:p>
      <w:pPr>
        <w:pStyle w:val="722"/>
        <w:spacing w:before="5"/>
        <w:rPr>
          <w:b/>
          <w:sz w:val="23"/>
        </w:rPr>
      </w:pPr>
      <w:r>
        <w:rPr>
          <w:b/>
          <w:sz w:val="23"/>
        </w:rPr>
      </w:r>
      <w:r>
        <w:rPr>
          <w:b/>
          <w:sz w:val="23"/>
        </w:rPr>
      </w:r>
    </w:p>
    <w:p>
      <w:pPr>
        <w:contextualSpacing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г. Казань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u w:val="single"/>
        </w:rPr>
        <w:t xml:space="preserve">«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2025 г.</w:t>
      </w:r>
      <w:r>
        <w:rPr>
          <w:sz w:val="28"/>
          <w:szCs w:val="28"/>
        </w:rPr>
      </w:r>
    </w:p>
    <w:p>
      <w:pPr>
        <w:contextualSpacing/>
        <w:jc w:val="both"/>
        <w:spacing w:line="276" w:lineRule="auto"/>
      </w:pPr>
      <w:r/>
      <w:r/>
    </w:p>
    <w:p>
      <w:pPr>
        <w:contextualSpacing/>
        <w:ind w:firstLine="709"/>
        <w:jc w:val="both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Я</w:t>
      </w:r>
      <w:r>
        <w:rPr>
          <w:sz w:val="28"/>
          <w:szCs w:val="28"/>
          <w:u w:val="single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паспорт серии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  <w:u w:val="single"/>
        </w:rPr>
        <w:t xml:space="preserve">           </w:t>
      </w:r>
      <w:r>
        <w:rPr>
          <w:sz w:val="28"/>
          <w:szCs w:val="28"/>
          <w:u w:val="single"/>
        </w:rPr>
      </w:r>
    </w:p>
    <w:p>
      <w:pPr>
        <w:contextualSpacing/>
        <w:jc w:val="both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выдан</w:t>
      </w:r>
      <w:r>
        <w:rPr>
          <w:sz w:val="28"/>
          <w:szCs w:val="28"/>
          <w:u w:val="single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проживающий(ая) по адресу: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</w:t>
      </w:r>
      <w:r>
        <w:rPr>
          <w:sz w:val="28"/>
          <w:szCs w:val="28"/>
          <w:u w:val="single"/>
        </w:rPr>
      </w:r>
    </w:p>
    <w:p>
      <w:pPr>
        <w:contextualSpacing/>
        <w:jc w:val="both"/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9 Федерального закона от 27.07.2006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152-ФЗ                         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персональных данных</w:t>
      </w:r>
      <w:r>
        <w:rPr>
          <w:sz w:val="28"/>
          <w:szCs w:val="28"/>
        </w:rPr>
        <w:t xml:space="preserve">», в целях </w:t>
      </w:r>
      <w:r>
        <w:rPr>
          <w:sz w:val="28"/>
          <w:szCs w:val="28"/>
        </w:rPr>
        <w:t xml:space="preserve">участия в </w:t>
      </w:r>
      <w:r>
        <w:rPr>
          <w:sz w:val="28"/>
          <w:szCs w:val="28"/>
        </w:rPr>
        <w:t xml:space="preserve">конкурс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на получение грантов на улучшение жилищных условий молодых ученых Республики Татарстан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даю согласие на полную обработку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моих персональных данных</w:t>
      </w:r>
      <w:r>
        <w:rPr>
          <w:sz w:val="28"/>
          <w:szCs w:val="28"/>
        </w:rPr>
        <w:t xml:space="preserve"> свободно, своей волей и в своем интересе </w:t>
      </w:r>
      <w:r>
        <w:rPr>
          <w:sz w:val="28"/>
          <w:szCs w:val="28"/>
        </w:rPr>
        <w:t xml:space="preserve">Министерству по делам молодежи Республики Татарстан (далее – Оператор)</w:t>
      </w:r>
      <w:r>
        <w:rPr>
          <w:sz w:val="28"/>
          <w:szCs w:val="28"/>
        </w:rPr>
        <w:t xml:space="preserve">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Наименование и адрес Оператора, получающего согласие субъекта персональных данных: </w:t>
      </w:r>
      <w:r>
        <w:rPr>
          <w:sz w:val="28"/>
          <w:szCs w:val="28"/>
        </w:rPr>
        <w:t xml:space="preserve">Министерство по делам молодежи Республики Татарстан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ИНН </w:t>
      </w:r>
      <w:r>
        <w:rPr>
          <w:sz w:val="28"/>
          <w:szCs w:val="28"/>
        </w:rPr>
        <w:t xml:space="preserve">1655404817</w:t>
      </w:r>
      <w:r>
        <w:rPr>
          <w:sz w:val="28"/>
          <w:szCs w:val="28"/>
        </w:rPr>
        <w:t xml:space="preserve">, КПП </w:t>
      </w:r>
      <w:r>
        <w:rPr>
          <w:sz w:val="28"/>
          <w:szCs w:val="28"/>
        </w:rPr>
        <w:t xml:space="preserve">165501001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420021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Республика Татарстан,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Казань, </w:t>
      </w:r>
      <w:r>
        <w:rPr>
          <w:sz w:val="28"/>
          <w:szCs w:val="28"/>
        </w:rPr>
        <w:t xml:space="preserve">Сафьян, д. 5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персональных данных, на обработку которых дается согласие: фамилия, имя, отчество, дата рождения, адрес проживания, паспортные данные (серия и номер документа, орган, выдавший документ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дата выдачи документа)</w:t>
      </w:r>
      <w:r>
        <w:rPr>
          <w:sz w:val="28"/>
          <w:szCs w:val="28"/>
        </w:rPr>
        <w:t xml:space="preserve">, фотографи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и изображения с участием участника.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и его партнерами способ</w:t>
      </w:r>
      <w:r>
        <w:rPr>
          <w:sz w:val="28"/>
          <w:szCs w:val="28"/>
        </w:rPr>
        <w:t xml:space="preserve">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Срок, в течение которого действует согласие субъекта персональных данных, </w:t>
        <w:br/>
        <w:t xml:space="preserve">а также способ его отзыва, если иное не установлено законом РФ: срок действия настоящего соглашения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365 дней со дня подписания.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 основании письменного обращения субъекта персональных данных </w:t>
        <w:br/>
        <w:t xml:space="preserve">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_______________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_________________________</w:t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Подпись                                   Ф.И.О. (полностью)   </w:t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</w:r>
    </w:p>
    <w:p>
      <w:pPr>
        <w:pStyle w:val="722"/>
        <w:spacing w:before="5"/>
        <w:rPr>
          <w:i/>
        </w:rPr>
      </w:pPr>
      <w:r>
        <w:rPr>
          <w:i/>
        </w:rPr>
      </w:r>
      <w:r>
        <w:rPr>
          <w:i/>
        </w:rPr>
      </w:r>
    </w:p>
    <w:p>
      <w:pPr>
        <w:ind w:left="359" w:right="222"/>
        <w:jc w:val="center"/>
        <w:spacing w:line="242" w:lineRule="auto"/>
        <w:rPr>
          <w:b/>
          <w:bCs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sz w:val="18"/>
          <w:szCs w:val="18"/>
        </w:rPr>
      </w:r>
    </w:p>
    <w:p>
      <w:pPr>
        <w:ind w:left="359" w:right="222"/>
        <w:jc w:val="center"/>
        <w:spacing w:line="242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359" w:right="222"/>
        <w:jc w:val="center"/>
        <w:spacing w:line="242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  <w:r>
        <w:rPr>
          <w:b/>
          <w:bCs/>
          <w:sz w:val="18"/>
          <w:szCs w:val="18"/>
        </w:rPr>
      </w:r>
    </w:p>
    <w:p>
      <w:pPr>
        <w:ind w:left="0" w:right="222"/>
        <w:jc w:val="left"/>
        <w:spacing w:line="242" w:lineRule="auto"/>
        <w:rPr>
          <w:b/>
          <w:bCs/>
          <w:sz w:val="18"/>
          <w:szCs w:val="18"/>
        </w:rPr>
      </w:pPr>
      <w:r>
        <w:rPr>
          <w:b/>
          <w:sz w:val="18"/>
          <w:szCs w:val="18"/>
        </w:rPr>
      </w:r>
      <w:r>
        <w:rPr>
          <w:b/>
          <w:bCs/>
          <w:sz w:val="18"/>
          <w:szCs w:val="18"/>
        </w:rPr>
      </w:r>
    </w:p>
    <w:sectPr>
      <w:headerReference w:type="default" r:id="rId9"/>
      <w:footerReference w:type="default" r:id="rId10"/>
      <w:footnotePr/>
      <w:endnotePr/>
      <w:type w:val="nextPage"/>
      <w:pgSz w:w="11910" w:h="16840" w:orient="portrait"/>
      <w:pgMar w:top="620" w:right="620" w:bottom="900" w:left="1020" w:header="0" w:footer="711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spacing w:line="14" w:lineRule="auto"/>
      <w:rPr>
        <w:sz w:val="20"/>
      </w:rPr>
    </w:pPr>
    <w:r>
      <w:rPr>
        <w:lang w:eastAsia="ru-RU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spacing w:line="14" w:lineRule="auto"/>
      <w:rPr>
        <w:sz w:val="2"/>
      </w:rPr>
    </w:pPr>
    <w:r>
      <w:rPr>
        <w:sz w:val="2"/>
      </w:rPr>
    </w:r>
    <w:r>
      <w:rPr>
        <w:sz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" w:hanging="423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83" w:hanging="42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7" w:hanging="42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51" w:hanging="42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35" w:hanging="42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19" w:hanging="42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3" w:hanging="42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42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71" w:hanging="42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00" w:hanging="212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83" w:hanging="21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7" w:hanging="21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51" w:hanging="21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19" w:hanging="21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3" w:hanging="21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71" w:hanging="21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bullet"/>
      <w:isLgl w:val="false"/>
      <w:suff w:val="tab"/>
      <w:lvlText w:val=""/>
      <w:lvlJc w:val="left"/>
      <w:pPr>
        <w:ind w:left="1224" w:hanging="504"/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1728" w:hanging="648"/>
      </w:pPr>
      <w:rPr>
        <w:rFonts w:hint="default" w:ascii="Symbol" w:hAnsi="Symbol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-"/>
      <w:lvlJc w:val="left"/>
      <w:pPr>
        <w:ind w:left="100" w:hanging="233"/>
      </w:pPr>
      <w:rPr>
        <w:rFonts w:hint="default" w:ascii="Times New Roman" w:hAnsi="Times New Roman" w:eastAsia="Times New Roman" w:cs="Times New Roman"/>
        <w:b/>
        <w:bCs/>
        <w:i/>
        <w:iCs/>
        <w:spacing w:val="-2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83" w:hanging="23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7" w:hanging="23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51" w:hanging="23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35" w:hanging="23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19" w:hanging="23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3" w:hanging="23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23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71" w:hanging="23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874" w:hanging="164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31" w:hanging="1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4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79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03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96" w:hanging="361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706"/>
      </w:pPr>
      <w:rPr>
        <w:rFonts w:hint="default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100" w:hanging="70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829" w:hanging="70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559" w:hanging="70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019" w:hanging="70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49" w:hanging="70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79" w:hanging="70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706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00" w:hanging="706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0" w:hanging="706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8"/>
    <w:link w:val="717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6"/>
    <w:next w:val="7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6"/>
    <w:next w:val="7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6"/>
    <w:next w:val="7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6"/>
    <w:next w:val="7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6"/>
    <w:next w:val="7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6"/>
    <w:next w:val="7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6"/>
    <w:next w:val="7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6"/>
    <w:next w:val="7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6"/>
    <w:next w:val="7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8"/>
    <w:link w:val="34"/>
    <w:uiPriority w:val="10"/>
    <w:rPr>
      <w:sz w:val="48"/>
      <w:szCs w:val="48"/>
    </w:rPr>
  </w:style>
  <w:style w:type="paragraph" w:styleId="36">
    <w:name w:val="Subtitle"/>
    <w:basedOn w:val="716"/>
    <w:next w:val="7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8"/>
    <w:link w:val="36"/>
    <w:uiPriority w:val="11"/>
    <w:rPr>
      <w:sz w:val="24"/>
      <w:szCs w:val="24"/>
    </w:rPr>
  </w:style>
  <w:style w:type="paragraph" w:styleId="38">
    <w:name w:val="Quote"/>
    <w:basedOn w:val="716"/>
    <w:next w:val="7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6"/>
    <w:next w:val="7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8"/>
    <w:link w:val="725"/>
    <w:uiPriority w:val="99"/>
  </w:style>
  <w:style w:type="character" w:styleId="45">
    <w:name w:val="Footer Char"/>
    <w:basedOn w:val="718"/>
    <w:link w:val="727"/>
    <w:uiPriority w:val="99"/>
  </w:style>
  <w:style w:type="paragraph" w:styleId="46">
    <w:name w:val="Caption"/>
    <w:basedOn w:val="716"/>
    <w:next w:val="7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7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8"/>
    <w:uiPriority w:val="99"/>
    <w:unhideWhenUsed/>
    <w:rPr>
      <w:vertAlign w:val="superscript"/>
    </w:rPr>
  </w:style>
  <w:style w:type="paragraph" w:styleId="178">
    <w:name w:val="endnote text"/>
    <w:basedOn w:val="7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8"/>
    <w:uiPriority w:val="99"/>
    <w:semiHidden/>
    <w:unhideWhenUsed/>
    <w:rPr>
      <w:vertAlign w:val="superscript"/>
    </w:rPr>
  </w:style>
  <w:style w:type="paragraph" w:styleId="181">
    <w:name w:val="toc 1"/>
    <w:basedOn w:val="716"/>
    <w:next w:val="7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6"/>
    <w:next w:val="7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6"/>
    <w:next w:val="7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6"/>
    <w:next w:val="7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6"/>
    <w:next w:val="7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6"/>
    <w:next w:val="7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6"/>
    <w:next w:val="7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6"/>
    <w:next w:val="7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6"/>
    <w:next w:val="7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6"/>
    <w:next w:val="716"/>
    <w:uiPriority w:val="99"/>
    <w:unhideWhenUsed/>
    <w:pPr>
      <w:spacing w:after="0" w:afterAutospacing="0"/>
    </w:pPr>
  </w:style>
  <w:style w:type="paragraph" w:styleId="716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717">
    <w:name w:val="Heading 1"/>
    <w:basedOn w:val="716"/>
    <w:uiPriority w:val="9"/>
    <w:qFormat/>
    <w:pPr>
      <w:ind w:left="772" w:hanging="361"/>
      <w:outlineLvl w:val="0"/>
    </w:pPr>
    <w:rPr>
      <w:b/>
      <w:bCs/>
      <w:sz w:val="28"/>
      <w:szCs w:val="28"/>
    </w:rPr>
  </w:style>
  <w:style w:type="character" w:styleId="718" w:default="1">
    <w:name w:val="Default Paragraph Font"/>
    <w:uiPriority w:val="1"/>
    <w:unhideWhenUsed/>
  </w:style>
  <w:style w:type="table" w:styleId="7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0" w:default="1">
    <w:name w:val="No List"/>
    <w:uiPriority w:val="99"/>
    <w:semiHidden/>
    <w:unhideWhenUsed/>
  </w:style>
  <w:style w:type="table" w:styleId="7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22">
    <w:name w:val="Body Text"/>
    <w:basedOn w:val="716"/>
    <w:uiPriority w:val="1"/>
    <w:qFormat/>
    <w:rPr>
      <w:sz w:val="28"/>
      <w:szCs w:val="28"/>
    </w:rPr>
  </w:style>
  <w:style w:type="paragraph" w:styleId="723">
    <w:name w:val="List Paragraph"/>
    <w:basedOn w:val="716"/>
    <w:uiPriority w:val="34"/>
    <w:qFormat/>
    <w:pPr>
      <w:ind w:left="100" w:firstLine="710"/>
    </w:pPr>
  </w:style>
  <w:style w:type="paragraph" w:styleId="724" w:customStyle="1">
    <w:name w:val="Table Paragraph"/>
    <w:basedOn w:val="716"/>
    <w:uiPriority w:val="1"/>
    <w:qFormat/>
  </w:style>
  <w:style w:type="paragraph" w:styleId="725">
    <w:name w:val="Header"/>
    <w:basedOn w:val="716"/>
    <w:link w:val="72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6" w:customStyle="1">
    <w:name w:val="Верхний колонтитул Знак"/>
    <w:basedOn w:val="718"/>
    <w:link w:val="725"/>
    <w:uiPriority w:val="99"/>
    <w:rPr>
      <w:rFonts w:ascii="Times New Roman" w:hAnsi="Times New Roman" w:eastAsia="Times New Roman" w:cs="Times New Roman"/>
      <w:lang w:val="ru-RU"/>
    </w:rPr>
  </w:style>
  <w:style w:type="paragraph" w:styleId="727">
    <w:name w:val="Footer"/>
    <w:basedOn w:val="716"/>
    <w:link w:val="7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28" w:customStyle="1">
    <w:name w:val="Нижний колонтитул Знак"/>
    <w:basedOn w:val="718"/>
    <w:link w:val="727"/>
    <w:uiPriority w:val="99"/>
    <w:rPr>
      <w:rFonts w:ascii="Times New Roman" w:hAnsi="Times New Roman" w:eastAsia="Times New Roman" w:cs="Times New Roman"/>
      <w:lang w:val="ru-RU"/>
    </w:rPr>
  </w:style>
  <w:style w:type="character" w:styleId="729">
    <w:name w:val="annotation reference"/>
    <w:basedOn w:val="718"/>
    <w:uiPriority w:val="99"/>
    <w:semiHidden/>
    <w:unhideWhenUsed/>
    <w:rPr>
      <w:sz w:val="16"/>
      <w:szCs w:val="16"/>
    </w:rPr>
  </w:style>
  <w:style w:type="paragraph" w:styleId="730">
    <w:name w:val="annotation text"/>
    <w:basedOn w:val="716"/>
    <w:link w:val="731"/>
    <w:uiPriority w:val="99"/>
    <w:semiHidden/>
    <w:unhideWhenUsed/>
    <w:rPr>
      <w:sz w:val="20"/>
      <w:szCs w:val="20"/>
    </w:rPr>
  </w:style>
  <w:style w:type="character" w:styleId="731" w:customStyle="1">
    <w:name w:val="Текст примечания Знак"/>
    <w:basedOn w:val="718"/>
    <w:link w:val="730"/>
    <w:uiPriority w:val="99"/>
    <w:semiHidden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732">
    <w:name w:val="annotation subject"/>
    <w:basedOn w:val="730"/>
    <w:next w:val="730"/>
    <w:link w:val="733"/>
    <w:uiPriority w:val="99"/>
    <w:semiHidden/>
    <w:unhideWhenUsed/>
    <w:rPr>
      <w:b/>
      <w:bCs/>
    </w:rPr>
  </w:style>
  <w:style w:type="character" w:styleId="733" w:customStyle="1">
    <w:name w:val="Тема примечания Знак"/>
    <w:basedOn w:val="731"/>
    <w:link w:val="732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paragraph" w:styleId="734">
    <w:name w:val="Balloon Text"/>
    <w:basedOn w:val="716"/>
    <w:link w:val="735"/>
    <w:uiPriority w:val="99"/>
    <w:semiHidden/>
    <w:unhideWhenUsed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basedOn w:val="718"/>
    <w:link w:val="734"/>
    <w:uiPriority w:val="99"/>
    <w:semiHidden/>
    <w:rPr>
      <w:rFonts w:ascii="Tahoma" w:hAnsi="Tahoma" w:eastAsia="Times New Roman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DD251-EA72-47A1-9F92-B1D8D69F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radif</cp:lastModifiedBy>
  <cp:revision>3</cp:revision>
  <dcterms:created xsi:type="dcterms:W3CDTF">2022-10-12T14:16:00Z</dcterms:created>
  <dcterms:modified xsi:type="dcterms:W3CDTF">2025-09-05T07:29:06Z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