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360" w:before="0" w:after="0"/>
        <w:jc w:val="center"/>
        <w:rPr/>
      </w:pPr>
      <w:r>
        <w:rPr>
          <w:rStyle w:val="Strong"/>
          <w:rFonts w:eastAsia="Times New Roman" w:cs="Times New Roman" w:ascii="Times New Roman" w:hAnsi="Times New Roman"/>
          <w:b/>
          <w:bCs w:val="false"/>
          <w:color w:val="000000"/>
          <w:sz w:val="28"/>
          <w:szCs w:val="28"/>
          <w:shd w:fill="AFD095" w:val="clear"/>
        </w:rPr>
        <w:t>Доклад в ГС РТ</w:t>
      </w:r>
    </w:p>
    <w:p>
      <w:pPr>
        <w:pStyle w:val="Heading2"/>
        <w:spacing w:lineRule="auto" w:line="360" w:before="0" w:after="0"/>
        <w:jc w:val="center"/>
        <w:rPr/>
      </w:pPr>
      <w:r>
        <w:rPr>
          <w:rStyle w:val="Strong"/>
          <w:rFonts w:eastAsia="Times New Roman" w:cs="Times New Roman" w:ascii="Times New Roman" w:hAnsi="Times New Roman"/>
          <w:b/>
          <w:bCs w:val="false"/>
          <w:color w:val="000000"/>
          <w:sz w:val="28"/>
          <w:szCs w:val="28"/>
          <w:shd w:fill="AFD095" w:val="clear"/>
        </w:rPr>
        <w:t>о положении молодежи Республики Татарстан в 2024 году</w:t>
      </w:r>
    </w:p>
    <w:p>
      <w:pPr>
        <w:pStyle w:val="BodyText"/>
        <w:spacing w:lineRule="auto" w:line="360"/>
        <w:ind w:firstLine="567" w:left="0" w:right="0"/>
        <w:rPr>
          <w:rStyle w:val="Strong"/>
        </w:rPr>
      </w:pPr>
      <w:r>
        <w:rPr>
          <w:rStyle w:val="Strong"/>
          <w:i/>
          <w:iCs/>
        </w:rPr>
        <w:t xml:space="preserve">Слайд 1. </w:t>
      </w:r>
      <w:r>
        <w:rPr>
          <w:rStyle w:val="Strong"/>
        </w:rPr>
        <w:t xml:space="preserve">Хәерле көн, хөрмәтле Фәрид Хайруллович, дәүләт советы депутатлары! Утырышта катнашучылар. </w:t>
      </w:r>
    </w:p>
    <w:p>
      <w:pPr>
        <w:pStyle w:val="BodyText"/>
        <w:spacing w:lineRule="auto" w:line="360"/>
        <w:ind w:firstLine="567" w:left="0" w:right="0"/>
        <w:rPr/>
      </w:pPr>
      <w:r>
        <w:rPr>
          <w:rStyle w:val="Strong"/>
          <w:i/>
          <w:iCs/>
        </w:rPr>
        <w:t>Слайд 2.</w:t>
      </w:r>
      <w:r>
        <w:rPr>
          <w:rStyle w:val="Strong"/>
          <w:b w:val="false"/>
          <w:bCs w:val="false"/>
        </w:rPr>
        <w:t xml:space="preserve"> Президент России Владимир Путин отметил «устремление нынешнего молодого поколения определяют завтрашний день страны». Этот посыл стал определяющим в решениях, принимаемых на федеральном и региональном уровнях.  </w:t>
      </w:r>
    </w:p>
    <w:p>
      <w:pPr>
        <w:pStyle w:val="BodyText"/>
        <w:spacing w:lineRule="auto" w:line="360"/>
        <w:ind w:firstLine="567" w:left="0" w:right="0"/>
        <w:rPr/>
      </w:pPr>
      <w:r>
        <w:rPr>
          <w:rStyle w:val="Strong"/>
          <w:i/>
          <w:iCs/>
        </w:rPr>
        <w:t>Слайд 3.</w:t>
      </w:r>
      <w:r>
        <w:rPr>
          <w:rStyle w:val="Strong"/>
          <w:b w:val="false"/>
          <w:bCs w:val="false"/>
        </w:rPr>
        <w:t xml:space="preserve"> Только в прошлом году:</w:t>
      </w:r>
    </w:p>
    <w:p>
      <w:pPr>
        <w:pStyle w:val="BodyText"/>
        <w:spacing w:lineRule="auto" w:line="360"/>
        <w:ind w:firstLine="567" w:left="0" w:right="0"/>
        <w:rPr/>
      </w:pPr>
      <w:r>
        <w:rPr>
          <w:rStyle w:val="Strong"/>
          <w:b w:val="false"/>
          <w:bCs w:val="false"/>
        </w:rPr>
        <w:t>- приняты законы, направленные на поддержку молодых специалистов, развитие наставничества, профилактику безнадзорности и правонарушений.</w:t>
      </w:r>
    </w:p>
    <w:p>
      <w:pPr>
        <w:pStyle w:val="BodyText"/>
        <w:spacing w:lineRule="auto" w:line="360"/>
        <w:ind w:firstLine="567" w:left="0" w:right="0"/>
        <w:rPr/>
      </w:pPr>
      <w:r>
        <w:rPr>
          <w:rStyle w:val="Strong"/>
          <w:b w:val="false"/>
          <w:bCs w:val="false"/>
        </w:rPr>
        <w:t>- утверждена федеральная стратегия молодёжной политики до 2030 года.</w:t>
      </w:r>
    </w:p>
    <w:p>
      <w:pPr>
        <w:pStyle w:val="BodyText"/>
        <w:spacing w:lineRule="auto" w:line="360"/>
        <w:ind w:firstLine="567" w:left="0" w:right="0"/>
        <w:rPr/>
      </w:pPr>
      <w:r>
        <w:rPr>
          <w:rStyle w:val="Strong"/>
          <w:i/>
          <w:iCs/>
          <w:color w:val="000000"/>
        </w:rPr>
        <w:t>Слайд 4.</w:t>
      </w:r>
      <w:r>
        <w:rPr>
          <w:rStyle w:val="Strong"/>
          <w:b w:val="false"/>
          <w:bCs w:val="false"/>
          <w:i/>
          <w:iCs/>
        </w:rPr>
        <w:t xml:space="preserve"> </w:t>
      </w:r>
      <w:r>
        <w:rPr>
          <w:rStyle w:val="Strong"/>
          <w:b w:val="false"/>
          <w:bCs w:val="false"/>
        </w:rPr>
        <w:t>Расширены полномочия органов государственной власти и местного самоуправления, впервые установлены категории профильных учреждений соответствующие направлениям деятельности.</w:t>
      </w:r>
    </w:p>
    <w:p>
      <w:pPr>
        <w:pStyle w:val="BodyText"/>
        <w:spacing w:lineRule="auto" w:line="360"/>
        <w:ind w:firstLine="567" w:left="0" w:right="0"/>
        <w:rPr/>
      </w:pPr>
      <w:r>
        <w:rPr>
          <w:rStyle w:val="Strong"/>
          <w:i/>
          <w:iCs/>
        </w:rPr>
        <w:t xml:space="preserve">Слайд 5. </w:t>
      </w:r>
      <w:r>
        <w:rPr>
          <w:rStyle w:val="Strong"/>
          <w:b w:val="false"/>
          <w:bCs w:val="false"/>
        </w:rPr>
        <w:t xml:space="preserve"> </w:t>
      </w:r>
      <w:r>
        <w:rPr>
          <w:rStyle w:val="Strong"/>
        </w:rPr>
        <w:t>И главное:</w:t>
      </w:r>
      <w:r>
        <w:rPr>
          <w:rStyle w:val="Strong"/>
          <w:b w:val="false"/>
          <w:bCs w:val="false"/>
        </w:rPr>
        <w:t xml:space="preserve"> Для достижения общегосударственной задачи — </w:t>
      </w:r>
      <w:r>
        <w:rPr>
          <w:rStyle w:val="Strong"/>
        </w:rPr>
        <w:t>реализации потенциала каждого человека, воспитания патриотично и социально ответственной личности</w:t>
      </w:r>
      <w:r>
        <w:rPr>
          <w:rStyle w:val="Strong"/>
          <w:b w:val="false"/>
          <w:bCs w:val="false"/>
        </w:rPr>
        <w:t xml:space="preserve"> — указом Президента Российской Федерации утверждён новый Национальный проект «Молодёжь и дети». (</w:t>
      </w:r>
      <w:r>
        <w:rPr>
          <w:rStyle w:val="Strong"/>
          <w:b w:val="false"/>
          <w:bCs w:val="false"/>
          <w:sz w:val="20"/>
          <w:szCs w:val="20"/>
        </w:rPr>
        <w:t>от 7 мая 2024 года № 309)</w:t>
      </w:r>
    </w:p>
    <w:p>
      <w:pPr>
        <w:pStyle w:val="BodyText"/>
        <w:spacing w:lineRule="auto" w:line="360"/>
        <w:ind w:firstLine="567" w:left="0" w:right="0"/>
        <w:rPr/>
      </w:pPr>
      <w:r>
        <w:rPr>
          <w:rStyle w:val="Strong"/>
          <w:i/>
          <w:iCs/>
        </w:rPr>
        <w:t xml:space="preserve">Слайд 6. </w:t>
      </w:r>
      <w:r>
        <w:rPr>
          <w:rStyle w:val="Strong"/>
          <w:b w:val="false"/>
          <w:iCs/>
        </w:rPr>
        <w:t>Его о</w:t>
      </w:r>
      <w:r>
        <w:rPr>
          <w:rStyle w:val="Strong"/>
          <w:b w:val="false"/>
          <w:bCs w:val="false"/>
        </w:rPr>
        <w:t>сновные показатели нового нацпроекта представлены на экране.</w:t>
      </w:r>
    </w:p>
    <w:p>
      <w:pPr>
        <w:pStyle w:val="BodyText"/>
        <w:spacing w:lineRule="auto" w:line="360"/>
        <w:ind w:firstLine="567" w:left="0" w:right="0"/>
        <w:rPr/>
      </w:pPr>
      <w:r>
        <w:rPr>
          <w:rStyle w:val="Strong"/>
          <w:b w:val="false"/>
          <w:bCs w:val="false"/>
          <w:i/>
          <w:iCs/>
        </w:rPr>
        <w:t xml:space="preserve"> </w:t>
      </w:r>
      <w:r>
        <w:rPr>
          <w:rStyle w:val="Strong"/>
          <w:b w:val="false"/>
          <w:bCs w:val="false"/>
          <w:i/>
          <w:iCs/>
        </w:rPr>
        <w:t>Как видно,</w:t>
      </w:r>
      <w:r>
        <w:rPr>
          <w:rStyle w:val="Strong"/>
          <w:i/>
          <w:iCs/>
        </w:rPr>
        <w:t xml:space="preserve"> </w:t>
      </w:r>
      <w:r>
        <w:rPr>
          <w:rStyle w:val="Strong"/>
          <w:b w:val="false"/>
          <w:bCs w:val="false"/>
        </w:rPr>
        <w:t>поставленные задачи имеют важное стратегическое значение.</w:t>
      </w:r>
    </w:p>
    <w:p>
      <w:pPr>
        <w:pStyle w:val="BodyText"/>
        <w:spacing w:lineRule="auto" w:line="360"/>
        <w:ind w:firstLine="567" w:left="0" w:right="0"/>
        <w:rPr/>
      </w:pPr>
      <w:r>
        <w:rPr>
          <w:rStyle w:val="Strong"/>
          <w:i/>
          <w:iCs/>
        </w:rPr>
        <w:t xml:space="preserve">Слайд 7. </w:t>
      </w:r>
      <w:r>
        <w:rPr>
          <w:rStyle w:val="Strong"/>
          <w:b w:val="false"/>
          <w:bCs w:val="false"/>
        </w:rPr>
        <w:t>Их реализация требует от нас крепкого межведомственного взаимодействия всех без исключения министерств, не только социального блока, а также предметной включенности каждого муниципалитета.</w:t>
      </w:r>
    </w:p>
    <w:p>
      <w:pPr>
        <w:pStyle w:val="BodyText"/>
        <w:spacing w:lineRule="auto" w:line="360"/>
        <w:ind w:firstLine="567" w:left="0" w:right="0"/>
        <w:rPr/>
      </w:pPr>
      <w:r>
        <w:rPr>
          <w:rStyle w:val="Strong"/>
          <w:i/>
          <w:iCs/>
        </w:rPr>
        <w:t xml:space="preserve">Слайд 8. </w:t>
      </w:r>
      <w:r>
        <w:rPr>
          <w:rStyle w:val="Strong"/>
          <w:b w:val="false"/>
          <w:bCs w:val="false"/>
        </w:rPr>
        <w:t>В целях глубинного изучения социального самочувствия молодежи в 2024 году совместно с ВЦИОМом провели социсследование.</w:t>
      </w:r>
    </w:p>
    <w:p>
      <w:pPr>
        <w:pStyle w:val="BodyText"/>
        <w:spacing w:lineRule="auto" w:line="360"/>
        <w:ind w:firstLine="567" w:left="0" w:right="0"/>
        <w:rPr/>
      </w:pPr>
      <w:r>
        <w:rPr>
          <w:rStyle w:val="Strong"/>
          <w:i/>
          <w:iCs/>
        </w:rPr>
        <w:t xml:space="preserve">Слайд 9. Из положительного молодежь республики отметила </w:t>
      </w:r>
      <w:r>
        <w:rPr>
          <w:rStyle w:val="Strong"/>
          <w:b w:val="false"/>
          <w:bCs w:val="false"/>
        </w:rPr>
        <w:t>развитую  инфраструктуру, высокий уровень активной жизненной позиции, уважение к малой родине. Из отрицательного:</w:t>
      </w:r>
    </w:p>
    <w:p>
      <w:pPr>
        <w:pStyle w:val="BodyText"/>
        <w:spacing w:lineRule="auto" w:line="360"/>
        <w:ind w:firstLine="567" w:left="0" w:right="0"/>
        <w:rPr/>
      </w:pPr>
      <w:r>
        <w:rPr>
          <w:rStyle w:val="Strong"/>
          <w:b w:val="false"/>
          <w:bCs w:val="false"/>
        </w:rPr>
        <w:t>низкую мотивацию кадров ввиду невысокой заработной платы и многозадачности;</w:t>
      </w:r>
    </w:p>
    <w:p>
      <w:pPr>
        <w:pStyle w:val="BodyText"/>
        <w:spacing w:lineRule="auto" w:line="360"/>
        <w:ind w:firstLine="567" w:left="0" w:right="0"/>
        <w:rPr/>
      </w:pPr>
      <w:r>
        <w:rPr>
          <w:rStyle w:val="Strong"/>
          <w:b w:val="false"/>
          <w:bCs w:val="false"/>
        </w:rPr>
        <w:t>отсутствие постоянного диалога молодежи с местной властью;</w:t>
      </w:r>
    </w:p>
    <w:p>
      <w:pPr>
        <w:pStyle w:val="BodyText"/>
        <w:spacing w:lineRule="auto" w:line="360"/>
        <w:ind w:firstLine="567" w:left="0" w:right="0"/>
        <w:rPr/>
      </w:pPr>
      <w:r>
        <w:rPr>
          <w:rStyle w:val="Strong"/>
          <w:b w:val="false"/>
          <w:bCs w:val="false"/>
        </w:rPr>
        <w:t>слабую информированность о государственных мерах поддержки.</w:t>
      </w:r>
    </w:p>
    <w:p>
      <w:pPr>
        <w:pStyle w:val="BodyText"/>
        <w:spacing w:lineRule="auto" w:line="360"/>
        <w:ind w:firstLine="567" w:left="0" w:right="0"/>
        <w:rPr/>
      </w:pPr>
      <w:r>
        <w:rPr>
          <w:rStyle w:val="Strong"/>
          <w:i/>
          <w:iCs/>
        </w:rPr>
        <w:t xml:space="preserve">Слайд 10. </w:t>
      </w:r>
      <w:r>
        <w:rPr>
          <w:rStyle w:val="Strong"/>
          <w:b w:val="false"/>
          <w:bCs w:val="false"/>
        </w:rPr>
        <w:t>Это подтверждается в ходе аудита сферы молодежной политики в районах. В этом году он проводится в Кукморском, Аксубаевском, Заинском и Сармановском районах.</w:t>
      </w:r>
    </w:p>
    <w:p>
      <w:pPr>
        <w:pStyle w:val="BodyText"/>
        <w:spacing w:lineRule="auto" w:line="360"/>
        <w:ind w:firstLine="567" w:left="0" w:right="0"/>
        <w:rPr/>
      </w:pPr>
      <w:r>
        <w:rPr>
          <w:rStyle w:val="Strong"/>
          <w:i/>
          <w:iCs/>
        </w:rPr>
        <w:t xml:space="preserve">Слайд 11. </w:t>
      </w:r>
      <w:r>
        <w:rPr>
          <w:rStyle w:val="Strong"/>
          <w:b w:val="false"/>
          <w:bCs w:val="false"/>
        </w:rPr>
        <w:t xml:space="preserve">Молодежь Татарстана – это более 1 млн </w:t>
      </w:r>
      <w:r>
        <w:rPr>
          <w:rStyle w:val="Strong"/>
          <w:b w:val="false"/>
          <w:bCs w:val="false"/>
          <w:i/>
          <w:iCs/>
          <w:sz w:val="24"/>
          <w:szCs w:val="24"/>
        </w:rPr>
        <w:t>(на начало 24 года)</w:t>
      </w:r>
      <w:r>
        <w:rPr>
          <w:rStyle w:val="Strong"/>
          <w:b w:val="false"/>
          <w:bCs w:val="false"/>
        </w:rPr>
        <w:t xml:space="preserve">: городская, сельская, учащаяся и работающая, молодые семьи. В своей работе мы должны учитывать интересы каждого, поддержать их созидательные инициативы и проекты! Безусловно, одним из механизмов такой поддержки являются конкурсы на получение грантов и участие в форумных компаниях, </w:t>
      </w:r>
    </w:p>
    <w:p>
      <w:pPr>
        <w:pStyle w:val="BodyText"/>
        <w:spacing w:lineRule="auto" w:line="360"/>
        <w:ind w:firstLine="567" w:left="0" w:right="0"/>
        <w:rPr/>
      </w:pPr>
      <w:r>
        <w:rPr>
          <w:rStyle w:val="Strong"/>
          <w:i/>
          <w:iCs/>
        </w:rPr>
        <w:t xml:space="preserve">Слайд 12. </w:t>
      </w:r>
      <w:r>
        <w:rPr>
          <w:rStyle w:val="Strong"/>
          <w:b w:val="false"/>
          <w:iCs/>
        </w:rPr>
        <w:t xml:space="preserve">благодаря которым </w:t>
      </w:r>
      <w:r>
        <w:rPr>
          <w:rStyle w:val="Strong"/>
          <w:b w:val="false"/>
          <w:bCs w:val="false"/>
        </w:rPr>
        <w:t>в 24 году в республику привлечего 129,5 млн руб.</w:t>
      </w:r>
    </w:p>
    <w:p>
      <w:pPr>
        <w:pStyle w:val="BodyText"/>
        <w:ind w:firstLine="567" w:left="0" w:right="0"/>
        <w:rPr>
          <w:sz w:val="24"/>
          <w:szCs w:val="24"/>
        </w:rPr>
      </w:pPr>
      <w:r>
        <w:rPr>
          <w:rStyle w:val="Strong"/>
          <w:b w:val="false"/>
          <w:bCs w:val="false"/>
          <w:i/>
          <w:iCs/>
          <w:color w:val="333333"/>
          <w:sz w:val="24"/>
          <w:szCs w:val="24"/>
        </w:rPr>
        <w:t>Справочно: Всероссийский студенческий проект «Твой ход» (7 млн руб.), Всероссийский конкурс «Большая перемена» среди 8-10 классов (9,4 млн руб.), Фонд президентских грантов (12,1 млн руб.), Всероссийский конкурс молодежных проектов среди физлиц (21,5 млн руб.).</w:t>
      </w:r>
    </w:p>
    <w:p>
      <w:pPr>
        <w:pStyle w:val="BodyText"/>
        <w:spacing w:lineRule="auto" w:line="360" w:before="57" w:after="0"/>
        <w:ind w:firstLine="567" w:left="0" w:right="0"/>
        <w:rPr/>
      </w:pPr>
      <w:r>
        <w:rPr>
          <w:rStyle w:val="Strong"/>
          <w:i/>
          <w:iCs/>
        </w:rPr>
        <w:t>Слайд 13.</w:t>
      </w:r>
      <w:r>
        <w:rPr>
          <w:rStyle w:val="Strong"/>
          <w:b w:val="false"/>
          <w:bCs w:val="false"/>
        </w:rPr>
        <w:t xml:space="preserve"> Татарстан традиционно занимает лидирующие позиции в сфере молодежной политики: волонтерство, благотворительность, студенческие трудовые и поисковые отряды, – это неполный перечень примеров отзывчивости и созидательной силы молодежи признанные на федеральном уровне. </w:t>
      </w:r>
    </w:p>
    <w:p>
      <w:pPr>
        <w:pStyle w:val="BodyText"/>
        <w:spacing w:lineRule="auto" w:line="360"/>
        <w:ind w:firstLine="567" w:left="0" w:right="0"/>
        <w:rPr>
          <w:rStyle w:val="Strong"/>
          <w:i/>
          <w:i/>
          <w:iCs/>
        </w:rPr>
      </w:pPr>
      <w:r>
        <w:rPr>
          <w:rStyle w:val="Strong"/>
          <w:i/>
          <w:iCs/>
        </w:rPr>
        <w:t xml:space="preserve">Слайд 14.  </w:t>
      </w:r>
      <w:r>
        <w:rPr>
          <w:rStyle w:val="Strong"/>
        </w:rPr>
        <w:t xml:space="preserve">Уважаемые депутаты! Инфраструктура отрасли в 24 году продолжила расширяться. </w:t>
      </w:r>
    </w:p>
    <w:p>
      <w:pPr>
        <w:pStyle w:val="BodyText"/>
        <w:spacing w:lineRule="auto" w:line="360"/>
        <w:ind w:firstLine="567" w:left="0" w:right="0"/>
        <w:rPr/>
      </w:pPr>
      <w:r>
        <w:rPr>
          <w:rStyle w:val="Strong"/>
          <w:b w:val="false"/>
          <w:bCs w:val="false"/>
        </w:rPr>
        <w:t xml:space="preserve">Она помогает нам справиться с одной из самых важных проблем – вовлечение в созидательную деятельность не только активной молодежи, но и ранее неохваченных ее категорий – через создание комфортных, и главное – полезных объектов инфраструктуры – подростковых клубов, молодежных центров, детских лагерей, центров психолого-педагогической помощи, которые представлены сегодня в большинстве городов и районов. Благодаря поддержке Раиса Республики Татарстан за 24 год построено и отремонтировано 39 объектов с финансированием в объеме 2,31 млрд рублей. </w:t>
      </w:r>
    </w:p>
    <w:p>
      <w:pPr>
        <w:pStyle w:val="BodyText"/>
        <w:spacing w:lineRule="auto" w:line="360"/>
        <w:ind w:firstLine="567" w:left="0" w:right="0"/>
        <w:rPr/>
      </w:pPr>
      <w:r>
        <w:rPr>
          <w:rStyle w:val="Strong"/>
          <w:i/>
          <w:iCs/>
        </w:rPr>
        <w:t>Слайд 15.</w:t>
      </w:r>
      <w:r>
        <w:rPr>
          <w:rStyle w:val="Strong"/>
          <w:b w:val="false"/>
          <w:bCs w:val="false"/>
        </w:rPr>
        <w:t xml:space="preserve"> В текущем году планируется обновить 49 объектов с бюджетом 2,45 млрд рублей, включая второй этап капитального ремонта республиканского молодежного центра на базе ДК Химиков.</w:t>
      </w:r>
    </w:p>
    <w:p>
      <w:pPr>
        <w:pStyle w:val="BodyText"/>
        <w:spacing w:lineRule="auto" w:line="360"/>
        <w:ind w:firstLine="567" w:left="0" w:right="0"/>
        <w:rPr>
          <w:rStyle w:val="Strong"/>
          <w:b w:val="false"/>
          <w:bCs w:val="false"/>
        </w:rPr>
      </w:pPr>
      <w:r>
        <w:rPr>
          <w:rStyle w:val="Strong"/>
          <w:i/>
          <w:iCs/>
        </w:rPr>
        <w:t xml:space="preserve">Слайд 16. Кроме того, на </w:t>
      </w:r>
      <w:r>
        <w:rPr>
          <w:rStyle w:val="Strong"/>
          <w:b w:val="false"/>
          <w:bCs w:val="false"/>
        </w:rPr>
        <w:t xml:space="preserve">инфраструктуру и реализацию молодежных проектов за 2024 год в рамках федеральных программ Министерством привлечено более 260 (260,4) млн рублей. Татарстан и здесь входит в топ-5 регионов. </w:t>
      </w:r>
    </w:p>
    <w:p>
      <w:pPr>
        <w:pStyle w:val="BodyText"/>
        <w:spacing w:lineRule="auto" w:line="360"/>
        <w:ind w:firstLine="567" w:left="0" w:right="0"/>
        <w:rPr/>
      </w:pPr>
      <w:r>
        <w:rPr>
          <w:rStyle w:val="Strong"/>
          <w:i/>
          <w:iCs/>
        </w:rPr>
        <w:t>Слайд 17.</w:t>
      </w:r>
      <w:r>
        <w:rPr>
          <w:rStyle w:val="Strong"/>
          <w:b w:val="false"/>
          <w:bCs w:val="false"/>
        </w:rPr>
        <w:t xml:space="preserve"> </w:t>
      </w:r>
      <w:r>
        <w:rPr>
          <w:rStyle w:val="Strong"/>
        </w:rPr>
        <w:t xml:space="preserve">Уважаемые депутаты! </w:t>
      </w:r>
    </w:p>
    <w:p>
      <w:pPr>
        <w:pStyle w:val="BodyText"/>
        <w:spacing w:lineRule="auto" w:line="360"/>
        <w:ind w:firstLine="567" w:left="0" w:right="0"/>
        <w:rPr/>
      </w:pPr>
      <w:r>
        <w:rPr>
          <w:rStyle w:val="Strong"/>
          <w:b w:val="false"/>
          <w:bCs w:val="false"/>
        </w:rPr>
        <w:t xml:space="preserve">Среди важных приоритетов – выстраивание системной работы в сфере патриотического воспитания молодежи. Это фундамент, на котором строится будущее нашей республики, нашей страны! Вовлеченность молодежи в реализацию мероприятий гражданского и военно-патриотического просвещения увеличивается благодаря целенаправленной работе республиканских центров «Патриот», «Форпост», учебно-методических центров «Авангард», действующих в Казани, Нижнекамске и Чистополе, центра «ВОИН», объединения «Отечество», Общероссийского народного фронта, в орбиту деятельности которых входят более </w:t>
      </w:r>
      <w:r>
        <w:rPr>
          <w:rStyle w:val="Strong"/>
          <w:b w:val="false"/>
          <w:bCs w:val="false"/>
          <w:highlight w:val="yellow"/>
        </w:rPr>
        <w:t>300 тыс. человек.</w:t>
      </w:r>
    </w:p>
    <w:p>
      <w:pPr>
        <w:pStyle w:val="BodyText"/>
        <w:spacing w:lineRule="auto" w:line="360"/>
        <w:ind w:firstLine="567" w:left="0" w:right="0"/>
        <w:rPr/>
      </w:pPr>
      <w:r>
        <w:rPr>
          <w:rStyle w:val="Strong"/>
          <w:i/>
          <w:iCs/>
        </w:rPr>
        <w:t>Слайд 18.</w:t>
      </w:r>
      <w:r>
        <w:rPr>
          <w:rStyle w:val="Strong"/>
          <w:b w:val="false"/>
          <w:bCs w:val="false"/>
        </w:rPr>
        <w:t xml:space="preserve"> С целью популяризации подвигов героев Советского Союза и Российской Федерации был реализован масштабный Всероссийский проект «Диалоги с Героями». В 2024 году было проведено более 500 </w:t>
      </w:r>
      <w:r>
        <w:rPr>
          <w:rStyle w:val="Strong"/>
          <w:b w:val="false"/>
          <w:bCs w:val="false"/>
          <w:sz w:val="24"/>
        </w:rPr>
        <w:t>(560)</w:t>
      </w:r>
      <w:r>
        <w:rPr>
          <w:rStyle w:val="Strong"/>
          <w:b w:val="false"/>
          <w:bCs w:val="false"/>
        </w:rPr>
        <w:t xml:space="preserve"> мероприятий с общим охватом более 48,0 тыс. чел. при участии 447 участников специальной военной операции. Это стало эффективной мерой в проведении разъяснительной работы среди молодого поколения. </w:t>
      </w:r>
    </w:p>
    <w:p>
      <w:pPr>
        <w:pStyle w:val="BodyText"/>
        <w:spacing w:lineRule="auto" w:line="360"/>
        <w:ind w:firstLine="567" w:left="0" w:right="0"/>
        <w:rPr/>
      </w:pPr>
      <w:r>
        <w:rPr>
          <w:rStyle w:val="Strong"/>
          <w:i/>
          <w:iCs/>
        </w:rPr>
        <w:t xml:space="preserve">Слайд 19. </w:t>
      </w:r>
      <w:r>
        <w:rPr>
          <w:rStyle w:val="Strong"/>
          <w:b w:val="false"/>
          <w:bCs w:val="false"/>
        </w:rPr>
        <w:t>Широко развита сеть организаций и движений патриотической направленности, действуют 209 военно-патриотических клубов в учреждениях молодежной политики, культуры и образования. Большое внимание уделяется работе по формированию традиций патриотизма через поисковую деятельность. Участники поисковых отрядов Объединения «Отечество» за 30 лет своей работы подняли останки 859 бойцов Красной армии, определили принадлежность 13 именных медальонов.</w:t>
      </w:r>
    </w:p>
    <w:p>
      <w:pPr>
        <w:pStyle w:val="BodyText"/>
        <w:spacing w:lineRule="auto" w:line="360"/>
        <w:ind w:firstLine="567" w:left="0" w:right="0"/>
        <w:rPr/>
      </w:pPr>
      <w:r>
        <w:rPr>
          <w:rStyle w:val="Strong"/>
          <w:i/>
          <w:iCs/>
        </w:rPr>
        <w:t>Слайд 20.</w:t>
      </w:r>
      <w:r>
        <w:rPr>
          <w:rStyle w:val="Strong"/>
          <w:b w:val="false"/>
          <w:bCs w:val="false"/>
        </w:rPr>
        <w:t xml:space="preserve"> Благодаря поддержке Полномочного представителя Президента РФ в Приволжском федеральном округе Игоря Анатольевича (Комарова) в 2024 году Татарстан впервые стал площадкой для проведения Окружного патриотического форума для 33 регионов Южного, Приволжского и Северо-Кавказского федеральных округов.</w:t>
      </w:r>
    </w:p>
    <w:p>
      <w:pPr>
        <w:pStyle w:val="BodyText"/>
        <w:spacing w:lineRule="auto" w:line="360"/>
        <w:ind w:firstLine="567" w:left="0" w:right="0"/>
        <w:rPr>
          <w:sz w:val="20"/>
          <w:szCs w:val="20"/>
        </w:rPr>
      </w:pPr>
      <w:r>
        <w:rPr>
          <w:rStyle w:val="Strong"/>
          <w:i/>
          <w:iCs/>
          <w:color w:val="000000"/>
        </w:rPr>
        <w:t xml:space="preserve">Слайд 21. </w:t>
      </w:r>
      <w:r>
        <w:rPr>
          <w:rStyle w:val="Strong"/>
          <w:b w:val="false"/>
          <w:bCs w:val="false"/>
        </w:rPr>
        <w:t xml:space="preserve">Не менее важным элементом в воспитании патриотизма остается семья, как основа формирования гражданской идентичности и нравственных ценностей. В Год семьи учреждениями молодежными политики была организована деятельность клубов молодых семей во всех муниципальных районах, </w:t>
      </w:r>
      <w:r>
        <w:rPr>
          <w:rStyle w:val="Strong"/>
          <w:b w:val="false"/>
          <w:bCs w:val="false"/>
          <w:sz w:val="20"/>
          <w:szCs w:val="20"/>
        </w:rPr>
        <w:t xml:space="preserve">участниками которых являются 1869 семей (5705 человек). </w:t>
      </w:r>
    </w:p>
    <w:p>
      <w:pPr>
        <w:pStyle w:val="BodyText"/>
        <w:spacing w:lineRule="auto" w:line="360"/>
        <w:ind w:firstLine="567" w:left="0" w:right="0"/>
        <w:rPr/>
      </w:pPr>
      <w:r>
        <w:rPr>
          <w:rStyle w:val="Strong"/>
          <w:b w:val="false"/>
          <w:bCs w:val="false"/>
        </w:rPr>
        <w:t>В Татарстане насчитывается 3 176 студенческих семей, из которых 333 семьи – это пары, где оба супруга являются студентами. Совместно с ректорским корпусом в ВУЗах с 24 года осуществляем патронатное сопровождение таких  семей.</w:t>
      </w:r>
    </w:p>
    <w:p>
      <w:pPr>
        <w:pStyle w:val="BodyText"/>
        <w:spacing w:lineRule="auto" w:line="360"/>
        <w:ind w:firstLine="567" w:left="0" w:right="0"/>
        <w:rPr>
          <w:rStyle w:val="Strong"/>
          <w:b w:val="false"/>
          <w:bCs w:val="false"/>
        </w:rPr>
      </w:pPr>
      <w:r>
        <w:rPr>
          <w:rStyle w:val="Strong"/>
          <w:i/>
          <w:iCs/>
        </w:rPr>
        <w:t>Слайд 22. П</w:t>
      </w:r>
      <w:r>
        <w:rPr>
          <w:rStyle w:val="Strong"/>
          <w:b w:val="false"/>
          <w:bCs w:val="false"/>
        </w:rPr>
        <w:t>родолжаем оказывать помощь молодым семьям и в решении жилищного вопроса. В 2024 году 658 семей воспользовались поддержкой в рамках программам Министерства. В то же время с учетом роста стоимости квадратного метра и сокращения количества льготных программ очередь, в которой состоит порядка 2,5 тыс молодых семей по нуждаемости, продвигается крайне медленно.</w:t>
      </w:r>
    </w:p>
    <w:p>
      <w:pPr>
        <w:pStyle w:val="BodyText"/>
        <w:spacing w:lineRule="auto" w:line="360"/>
        <w:ind w:firstLine="567" w:left="0" w:right="0"/>
        <w:rPr/>
      </w:pPr>
      <w:r>
        <w:rPr>
          <w:rStyle w:val="Strong"/>
          <w:b w:val="false"/>
          <w:bCs w:val="false"/>
        </w:rPr>
        <w:t>Просим Вас при формировании бюджета на 2026 и последующие годы учесть выделение дополнительных средств на жилищные программы для молодежи.</w:t>
      </w:r>
    </w:p>
    <w:p>
      <w:pPr>
        <w:pStyle w:val="BodyText"/>
        <w:spacing w:lineRule="auto" w:line="360"/>
        <w:ind w:firstLine="567" w:left="0" w:right="0"/>
        <w:rPr/>
      </w:pPr>
      <w:r>
        <w:rPr>
          <w:rStyle w:val="Strong"/>
          <w:i/>
          <w:iCs/>
        </w:rPr>
        <w:t>Слайд 23.</w:t>
      </w:r>
      <w:r>
        <w:rPr>
          <w:rStyle w:val="Strong"/>
          <w:b w:val="false"/>
          <w:bCs w:val="false"/>
        </w:rPr>
        <w:t xml:space="preserve"> Успешно реализована серия проектов под названием «Семейный код», объединившая в себе фотовыставки, образовательные сессии, тренинги, консультации. Интересным опытом для нас стали проектные сессии для молодых преподавателей, молодых мам и пап, госслужащих, предпринимателей, молодежи с ограниченными возможностями здоровья. </w:t>
      </w:r>
    </w:p>
    <w:p>
      <w:pPr>
        <w:pStyle w:val="BodyText"/>
        <w:spacing w:lineRule="auto" w:line="360"/>
        <w:ind w:firstLine="567" w:left="0" w:right="0"/>
        <w:rPr/>
      </w:pPr>
      <w:r>
        <w:rPr>
          <w:rStyle w:val="Strong"/>
          <w:i/>
          <w:iCs/>
        </w:rPr>
        <w:t xml:space="preserve">Слайд 24. Их продолжением в текущем году станет </w:t>
      </w:r>
      <w:r>
        <w:rPr>
          <w:rStyle w:val="Strong"/>
          <w:b w:val="false"/>
          <w:bCs w:val="false"/>
        </w:rPr>
        <w:t>реализация совместно с Министерством здравоохранения Татарстана нового проекта, направленного на формирование ответственного отношения к своему ментальному и физическому здоровью. Реализация проекта планируется в рамках единой программы «Лето в Татарстане».</w:t>
      </w:r>
    </w:p>
    <w:p>
      <w:pPr>
        <w:pStyle w:val="BodyText"/>
        <w:spacing w:lineRule="auto" w:line="360"/>
        <w:ind w:firstLine="567" w:left="0" w:right="0"/>
        <w:rPr/>
      </w:pPr>
      <w:r>
        <w:rPr>
          <w:rStyle w:val="Strong"/>
          <w:i/>
          <w:iCs/>
        </w:rPr>
        <w:t xml:space="preserve">Слайд 25. </w:t>
      </w:r>
      <w:r>
        <w:rPr>
          <w:rStyle w:val="Strong"/>
        </w:rPr>
        <w:t>Уважаемые депутаты</w:t>
      </w:r>
      <w:r>
        <w:rPr>
          <w:rStyle w:val="Strong"/>
          <w:b w:val="false"/>
          <w:bCs w:val="false"/>
        </w:rPr>
        <w:t xml:space="preserve">, поднимая тему семьи, нельзя обойти вопросы организации отдыха детей в каникулярный период. Лагерь – не просто база отдыха, это целая технология формирования интересов, мировоззрения подростка, развития его личности. За 2024 год благодаря слаженной работе межведомственной комиссии на базе лагерей отдохнуло более 214 тысяч детей, из которых 6,5 тысяч – в лагерях Крыма и Краснодарского края. </w:t>
      </w:r>
    </w:p>
    <w:p>
      <w:pPr>
        <w:pStyle w:val="BodyText"/>
        <w:spacing w:lineRule="auto" w:line="360"/>
        <w:ind w:firstLine="567" w:left="0" w:right="0"/>
        <w:rPr/>
      </w:pPr>
      <w:r>
        <w:rPr>
          <w:rStyle w:val="Strong"/>
          <w:b w:val="false"/>
          <w:bCs w:val="false"/>
        </w:rPr>
        <w:t>В республике действуют меры по организации летнего отдыха для детей участников специальной военной операции. В 2024 году более 6 тысяч таких детей (6 128) получили возможность отдохнуть в лагерях и оздоровительных центрах Татарстана бесплатно.</w:t>
      </w:r>
    </w:p>
    <w:p>
      <w:pPr>
        <w:pStyle w:val="BodyText"/>
        <w:spacing w:lineRule="auto" w:line="360"/>
        <w:ind w:firstLine="567" w:left="0" w:right="0"/>
        <w:rPr/>
      </w:pPr>
      <w:r>
        <w:rPr>
          <w:rStyle w:val="Strong"/>
          <w:i/>
          <w:iCs/>
        </w:rPr>
        <w:t xml:space="preserve">Слайд 26. </w:t>
      </w:r>
      <w:r>
        <w:rPr>
          <w:rStyle w:val="Strong"/>
          <w:b w:val="false"/>
          <w:bCs w:val="false"/>
        </w:rPr>
        <w:t>Важнейшей задачей остается оказание гуманитарной помощи военнослужащим-участникам СВО и их семьям. В республике функционируют 85 пунктов сбора гуманитарной помощи (20 в г.Казани), в сборе которой активное участие принимают более 12 000 волонтеров.</w:t>
      </w:r>
    </w:p>
    <w:p>
      <w:pPr>
        <w:pStyle w:val="BodyText"/>
        <w:spacing w:lineRule="auto" w:line="360"/>
        <w:ind w:firstLine="567" w:left="0" w:right="0"/>
        <w:rPr/>
      </w:pPr>
      <w:r>
        <w:rPr>
          <w:rStyle w:val="Strong"/>
          <w:i/>
          <w:iCs/>
        </w:rPr>
        <w:t xml:space="preserve">Слайд 27. </w:t>
      </w:r>
      <w:r>
        <w:rPr>
          <w:rStyle w:val="Strong"/>
          <w:b w:val="false"/>
          <w:iCs/>
        </w:rPr>
        <w:t>Наша ежедневная работа</w:t>
      </w:r>
      <w:r>
        <w:rPr>
          <w:rStyle w:val="Strong"/>
          <w:i/>
          <w:iCs/>
        </w:rPr>
        <w:t xml:space="preserve"> </w:t>
      </w:r>
      <w:r>
        <w:rPr>
          <w:rStyle w:val="Strong"/>
          <w:b w:val="false"/>
          <w:bCs w:val="false"/>
        </w:rPr>
        <w:t xml:space="preserve">– адресная поддержка различных категорий молодежи. Выступая за трибуной в прошлом году говорили о разработке отдельной программы по обеспечению жильем молодых ученых. В 2024 году, в год научно-технологического развития, вместе с Академией наук Татарстана успешно разработаны комплексные меры поддержки молодых ученых, и в текущем году выделено финансирование 27,5 млн руб. для обеспечения молодых ученых единовременными субсидиями на приобретение жилья, и увеличения премиальных выплат победителям Конкурса «Лучший молодой ученый» и «Лучший молодой преподаватель» – более 1 млн рублей. </w:t>
      </w:r>
    </w:p>
    <w:p>
      <w:pPr>
        <w:pStyle w:val="BodyText"/>
        <w:spacing w:lineRule="auto" w:line="360"/>
        <w:ind w:firstLine="567" w:left="0" w:right="0"/>
        <w:rPr/>
      </w:pPr>
      <w:r>
        <w:rPr>
          <w:rStyle w:val="Strong"/>
          <w:i/>
          <w:iCs/>
        </w:rPr>
        <w:t xml:space="preserve">Слайд 28. </w:t>
      </w:r>
      <w:r>
        <w:rPr>
          <w:rStyle w:val="Strong"/>
          <w:b w:val="false"/>
          <w:bCs w:val="false"/>
        </w:rPr>
        <w:t xml:space="preserve">В 2024 году мы существенно расширили поддержку молодых жителей села через обновленную программу «Сельская молодежь», финансирование которой составило 21 млн рублей. </w:t>
      </w:r>
    </w:p>
    <w:p>
      <w:pPr>
        <w:pStyle w:val="BodyText"/>
        <w:spacing w:lineRule="auto" w:line="360"/>
        <w:ind w:firstLine="567" w:left="0" w:right="0"/>
        <w:rPr/>
      </w:pPr>
      <w:r>
        <w:rPr>
          <w:rStyle w:val="Strong"/>
          <w:i/>
          <w:iCs/>
        </w:rPr>
        <w:t xml:space="preserve">Слайд 29. </w:t>
      </w:r>
      <w:r>
        <w:rPr>
          <w:rStyle w:val="Strong"/>
          <w:b w:val="false"/>
          <w:bCs w:val="false"/>
        </w:rPr>
        <w:t>Совместно с Минсельхозом Татарстана и Аграрным молодежным объединением в 7 районах республики для сельской молодежи организованы специализированные обучающие семинары по актуальным для них темам, например, сельский туризм и предпринимательство, повышение престижа аграрных специальностей;</w:t>
      </w:r>
    </w:p>
    <w:p>
      <w:pPr>
        <w:pStyle w:val="BodyText"/>
        <w:spacing w:lineRule="auto" w:line="360"/>
        <w:ind w:firstLine="567" w:left="0" w:right="0"/>
        <w:rPr/>
      </w:pPr>
      <w:r>
        <w:rPr>
          <w:rStyle w:val="Strong"/>
          <w:i/>
          <w:iCs/>
        </w:rPr>
        <w:t xml:space="preserve">Слайд 30. </w:t>
      </w:r>
      <w:r>
        <w:rPr>
          <w:rStyle w:val="Strong"/>
          <w:b w:val="false"/>
          <w:bCs w:val="false"/>
        </w:rPr>
        <w:t>запущено мобильное приложение для молодых аграриев, проведен масштабный профориентационный Форум, а премиальный фонд конкурса «Лучший по профессии» увеличен до 2,5 млн рублей, стимулируя профессиональный рост молодых специалистов на селе.</w:t>
      </w:r>
    </w:p>
    <w:p>
      <w:pPr>
        <w:pStyle w:val="BodyText"/>
        <w:spacing w:lineRule="auto" w:line="360"/>
        <w:ind w:firstLine="567" w:left="0" w:right="0"/>
        <w:rPr/>
      </w:pPr>
      <w:r>
        <w:rPr>
          <w:rStyle w:val="Strong"/>
          <w:i/>
          <w:iCs/>
        </w:rPr>
        <w:t xml:space="preserve">Слайд 31. </w:t>
      </w:r>
      <w:r>
        <w:rPr>
          <w:rStyle w:val="Strong"/>
          <w:b w:val="false"/>
          <w:bCs w:val="false"/>
        </w:rPr>
        <w:t xml:space="preserve">Для поддержки творческой молодежи осуществляет свою деятельность арт-резиденция «РЕАКТОР», объединяющая креативные пространства для начинающих музыкантов, художников, театральных деятелей, дизайнеров и фотографов, предоставляя им возможности для профессионального развития. </w:t>
      </w:r>
    </w:p>
    <w:p>
      <w:pPr>
        <w:pStyle w:val="BodyText"/>
        <w:spacing w:lineRule="auto" w:line="360"/>
        <w:ind w:firstLine="567" w:left="0" w:right="0"/>
        <w:rPr/>
      </w:pPr>
      <w:r>
        <w:rPr>
          <w:rStyle w:val="Strong"/>
          <w:b w:val="false"/>
          <w:bCs w:val="false"/>
        </w:rPr>
        <w:t>Параллельно реализуется комплексная программа работы с неформальными молодежными сообществами, благодаря которой данная аудитория вовлекается в социально полезные проекты.</w:t>
      </w:r>
    </w:p>
    <w:p>
      <w:pPr>
        <w:pStyle w:val="BodyText"/>
        <w:spacing w:lineRule="auto" w:line="360"/>
        <w:ind w:firstLine="567" w:left="0" w:right="0"/>
        <w:rPr/>
      </w:pPr>
      <w:r>
        <w:rPr>
          <w:rStyle w:val="Strong"/>
          <w:i/>
          <w:iCs/>
          <w:color w:val="000000"/>
        </w:rPr>
        <w:t xml:space="preserve">Слайд 32. </w:t>
      </w:r>
      <w:r>
        <w:rPr>
          <w:rStyle w:val="Strong"/>
          <w:b w:val="false"/>
          <w:bCs w:val="false"/>
          <w:color w:val="000000"/>
        </w:rPr>
        <w:t xml:space="preserve">Особое внимание уделяется вопросам работы с иностранной молодежью. В образовательных учреждениях Татарстана в 2024 году обучалось более 22 тыс. иностранных студентов. Большое значение придается межкультурному диалогу, поддержке их студенческих объединений и организации совместных мероприятий, способствующих знакомству с историей, традициями и культурой региона. </w:t>
      </w:r>
    </w:p>
    <w:p>
      <w:pPr>
        <w:pStyle w:val="BodyText"/>
        <w:spacing w:lineRule="auto" w:line="360"/>
        <w:ind w:firstLine="567" w:left="0" w:right="0"/>
        <w:rPr/>
      </w:pPr>
      <w:r>
        <w:rPr>
          <w:rStyle w:val="Strong"/>
          <w:i/>
          <w:iCs/>
          <w:color w:val="000000"/>
        </w:rPr>
        <w:t xml:space="preserve">Слайд 33. </w:t>
      </w:r>
      <w:r>
        <w:rPr>
          <w:rStyle w:val="Strong"/>
          <w:b w:val="false"/>
          <w:bCs w:val="false"/>
          <w:color w:val="000000"/>
        </w:rPr>
        <w:t xml:space="preserve">Туган телне һәм мәдәниятне үстерү һәм саклауга «Идел» һәм «Сәләт» яшьләр үзәкләре зур өлеш кертә. Аларның күпьеллык хезмәте нәтиҗәсендә уникаль белем бирү программалары булдырыла, мәдәни чаралар һәм фестивальләр үткәрелә, анда яшьләр татар телен өйрәнеп кенә калмый, үз халкының бай мәдәни мирасы белән танышалар. Мондый мөһим һәм актуаль проектларга ярдәм иткәннәре өчен без Татарстан Республикасы Рәисе каршындагы татар телен </w:t>
      </w:r>
      <w:r>
        <w:rPr>
          <w:rStyle w:val="Strong"/>
          <w:b w:val="false"/>
          <w:bCs w:val="false"/>
          <w:color w:val="000000"/>
          <w:lang w:val="tt-RU"/>
        </w:rPr>
        <w:t xml:space="preserve">һәм </w:t>
      </w:r>
      <w:r>
        <w:rPr>
          <w:rStyle w:val="Strong"/>
          <w:b w:val="false"/>
          <w:bCs w:val="false"/>
          <w:color w:val="000000"/>
        </w:rPr>
        <w:t>Татарстан Республикасы</w:t>
      </w:r>
      <w:r>
        <w:rPr>
          <w:rStyle w:val="Strong"/>
          <w:b w:val="false"/>
          <w:bCs w:val="false"/>
          <w:color w:val="000000"/>
          <w:lang w:val="tt-RU"/>
        </w:rPr>
        <w:t>нда яшәүче халыклар вәкилләренең туган телләрен</w:t>
      </w:r>
      <w:r>
        <w:rPr>
          <w:rStyle w:val="Strong"/>
          <w:b w:val="false"/>
          <w:bCs w:val="false"/>
          <w:color w:val="000000"/>
        </w:rPr>
        <w:t xml:space="preserve"> саклау</w:t>
      </w:r>
      <w:r>
        <w:rPr>
          <w:rStyle w:val="Strong"/>
          <w:b w:val="false"/>
          <w:bCs w:val="false"/>
          <w:color w:val="000000"/>
          <w:lang w:val="tt-RU"/>
        </w:rPr>
        <w:t>,</w:t>
      </w:r>
      <w:r>
        <w:rPr>
          <w:rStyle w:val="Strong"/>
          <w:b w:val="false"/>
          <w:bCs w:val="false"/>
          <w:color w:val="000000"/>
        </w:rPr>
        <w:t xml:space="preserve"> үстерү </w:t>
      </w:r>
      <w:bookmarkStart w:id="0" w:name="_GoBack"/>
      <w:bookmarkEnd w:id="0"/>
      <w:r>
        <w:rPr>
          <w:rStyle w:val="Strong"/>
          <w:b w:val="false"/>
          <w:bCs w:val="false"/>
          <w:color w:val="000000"/>
        </w:rPr>
        <w:t>мәсьәләләре комиссиясе әгъзаларына һәм шәхсән сезгә, хөрмәтле Марат Готыф улы, зур рәхмәтебезне белдерәбез.</w:t>
      </w:r>
    </w:p>
    <w:p>
      <w:pPr>
        <w:pStyle w:val="BodyText"/>
        <w:spacing w:lineRule="auto" w:line="360"/>
        <w:ind w:firstLine="567" w:left="0" w:right="0"/>
        <w:rPr/>
      </w:pPr>
      <w:r>
        <w:rPr>
          <w:rStyle w:val="Strong"/>
          <w:i/>
          <w:iCs/>
        </w:rPr>
        <w:t xml:space="preserve">Слайд 34. </w:t>
      </w:r>
      <w:r>
        <w:rPr>
          <w:rStyle w:val="Strong"/>
          <w:b w:val="false"/>
          <w:bCs w:val="false"/>
        </w:rPr>
        <w:t xml:space="preserve">Создаются равные возможности для молодежи с ограниченными возможностями здоровья, обеспечивая их активное участие во всероссийских движениях, получение грантов и трудоустройство. Главный принцип — поддержка самореализации каждого молодого человека вне зависимости от его физических возможностей. </w:t>
      </w:r>
    </w:p>
    <w:p>
      <w:pPr>
        <w:pStyle w:val="BodyText"/>
        <w:spacing w:lineRule="auto" w:line="360"/>
        <w:ind w:firstLine="567" w:left="0" w:right="0"/>
        <w:rPr/>
      </w:pPr>
      <w:r>
        <w:rPr>
          <w:rStyle w:val="Strong"/>
          <w:i/>
          <w:iCs/>
        </w:rPr>
        <w:t xml:space="preserve">Слайд 35. </w:t>
      </w:r>
      <w:r>
        <w:rPr>
          <w:rStyle w:val="Strong"/>
          <w:b w:val="false"/>
          <w:bCs w:val="false"/>
        </w:rPr>
        <w:t>На первый план встают вопросы безопасности, занятости и, конечно, профилактики. Важную роль в</w:t>
      </w:r>
      <w:r>
        <w:rPr>
          <w:rStyle w:val="Strong"/>
          <w:b w:val="false"/>
          <w:bCs w:val="false"/>
          <w:color w:val="C9211E"/>
        </w:rPr>
        <w:t xml:space="preserve"> </w:t>
      </w:r>
      <w:r>
        <w:rPr>
          <w:rStyle w:val="Strong"/>
          <w:b w:val="false"/>
          <w:bCs w:val="false"/>
        </w:rPr>
        <w:t>предупреждении</w:t>
      </w:r>
      <w:r>
        <w:rPr>
          <w:rStyle w:val="Strong"/>
          <w:b w:val="false"/>
          <w:bCs w:val="false"/>
          <w:color w:val="C9211E"/>
        </w:rPr>
        <w:t xml:space="preserve"> </w:t>
      </w:r>
      <w:r>
        <w:rPr>
          <w:rStyle w:val="Strong"/>
          <w:b w:val="false"/>
          <w:bCs w:val="false"/>
        </w:rPr>
        <w:t xml:space="preserve">негативных тенденций в молодежной среде отводится наставникам – выдающимся личностям, достигших высоких результатов и трудовых успехов. Это герои, космонавты, доктора, спортсмены, предприниматели, руководители предприятий и многие другие. </w:t>
      </w:r>
      <w:r>
        <w:rPr>
          <w:rStyle w:val="Strong"/>
        </w:rPr>
        <w:t xml:space="preserve">Выражаю надежду, что и в последующем наши депутаты продолжат выстраивать диалог с подрастающим поколением на базе молодежных центров и подростковых клубов.   </w:t>
      </w:r>
    </w:p>
    <w:p>
      <w:pPr>
        <w:pStyle w:val="BodyText"/>
        <w:spacing w:lineRule="auto" w:line="360"/>
        <w:ind w:firstLine="567" w:left="0" w:right="0"/>
        <w:rPr>
          <w:rStyle w:val="Strong"/>
          <w:b w:val="false"/>
          <w:bCs w:val="false"/>
        </w:rPr>
      </w:pPr>
      <w:r>
        <w:rPr>
          <w:rStyle w:val="Strong"/>
          <w:i/>
          <w:iCs/>
        </w:rPr>
        <w:t xml:space="preserve">Слайд 36. </w:t>
      </w:r>
      <w:r>
        <w:rPr>
          <w:rStyle w:val="Strong"/>
          <w:b w:val="false"/>
          <w:bCs w:val="false"/>
        </w:rPr>
        <w:t xml:space="preserve">Особое внимание уделяем профилактической работе через сеть из 28 центров психолого-педагогической помощи и круглосуточные телефоны доверия, которые ежегодно принимают свыше 60 тысяч звонков. </w:t>
      </w:r>
    </w:p>
    <w:p>
      <w:pPr>
        <w:pStyle w:val="BodyText"/>
        <w:spacing w:lineRule="auto" w:line="360"/>
        <w:ind w:firstLine="567" w:left="0" w:right="0"/>
        <w:rPr/>
      </w:pPr>
      <w:r>
        <w:rPr>
          <w:rStyle w:val="Strong"/>
          <w:b w:val="false"/>
          <w:bCs w:val="false"/>
        </w:rPr>
        <w:t>Благодарим все центры за основательную и предметную работу с близкими, родными и участниками СВО</w:t>
      </w:r>
      <w:r>
        <w:rPr/>
        <w:t xml:space="preserve">. </w:t>
      </w:r>
    </w:p>
    <w:p>
      <w:pPr>
        <w:pStyle w:val="BodyText"/>
        <w:spacing w:lineRule="auto" w:line="360"/>
        <w:ind w:firstLine="567" w:left="0" w:right="0"/>
        <w:rPr/>
      </w:pPr>
      <w:r>
        <w:rPr>
          <w:rStyle w:val="Strong"/>
          <w:i/>
          <w:iCs/>
          <w:color w:val="000000"/>
        </w:rPr>
        <w:t xml:space="preserve">Слайд 37. </w:t>
      </w:r>
      <w:r>
        <w:rPr>
          <w:rStyle w:val="Strong"/>
          <w:b w:val="false"/>
          <w:bCs w:val="false"/>
          <w:color w:val="000000"/>
        </w:rPr>
        <w:t xml:space="preserve">Работу по поддержке несовершеннолетних, находящихся в трудной жизненной ситуации, мы ведем в тесном сотрудничестве с правоохранительными и профильными ведомствами. Совместно со специалистами сфер здравоохранения, образования, некоммерческими и коммерческими предприятиями был запущен и реализуется проект «Теплые сердца» для подростков, оказавшихся в следственных изоляторах.  </w:t>
      </w:r>
    </w:p>
    <w:p>
      <w:pPr>
        <w:pStyle w:val="BodyText"/>
        <w:spacing w:lineRule="auto" w:line="360"/>
        <w:ind w:firstLine="567" w:left="0" w:right="0"/>
        <w:rPr/>
      </w:pPr>
      <w:r>
        <w:rPr>
          <w:rStyle w:val="Strong"/>
          <w:i/>
          <w:iCs/>
          <w:color w:val="000000"/>
        </w:rPr>
        <w:t xml:space="preserve">Слайд 38. </w:t>
      </w:r>
      <w:r>
        <w:rPr/>
        <w:t xml:space="preserve">Еще одной эффективной мерой профилактики и предупреждения было и остаётся – трудоустройство. Здесь мы испытываем большую проблему и выражаем озабоченность. Да, благодаря службам занятости Министерства труда республики в 2024 году было трудоустроено более 12 000 подростков. Но запрос от подростков кратно выше! Пользуясь возможностью высокой трибуны, призываю и предприятия, и коммерческие организации создавать максимально комфортные условия для вовлечения подростков в трудовую деятельность. </w:t>
      </w:r>
    </w:p>
    <w:p>
      <w:pPr>
        <w:pStyle w:val="BodyText"/>
        <w:spacing w:lineRule="auto" w:line="360"/>
        <w:ind w:firstLine="567" w:left="0" w:right="0"/>
        <w:rPr/>
      </w:pPr>
      <w:r>
        <w:rPr>
          <w:rStyle w:val="Strong"/>
          <w:i/>
          <w:iCs/>
          <w:color w:val="000000"/>
        </w:rPr>
        <w:t xml:space="preserve">Слайд 39. Такой опыт у нас уже есть. В 2024 году вместе с институтом развития городов почти пол тысячи подростков мы превлекли к реализации </w:t>
      </w:r>
      <w:r>
        <w:rPr>
          <w:rStyle w:val="Strong"/>
          <w:b w:val="false"/>
          <w:bCs w:val="false"/>
        </w:rPr>
        <w:t xml:space="preserve">республиканских программ «Наш Двор» и «Парки и скверы». Помимо организации занятости подростков, здесь преследуется задача привлечения к созидательной работе – благоустройству, озеленению, покраске и многому другому. Участие в таких проектах не только формирует у молодых людей ответственное отношение к общественным пространствам, но и воспитывает новое поколение созидателей, бережно относящихся к плодам своего труда. Продолжим эту работу вместе с главами районов и в текущем году. </w:t>
      </w:r>
    </w:p>
    <w:p>
      <w:pPr>
        <w:pStyle w:val="BodyText"/>
        <w:spacing w:lineRule="auto" w:line="360"/>
        <w:ind w:firstLine="567" w:left="0" w:right="0"/>
        <w:rPr>
          <w:rStyle w:val="Strong"/>
          <w:b w:val="false"/>
          <w:bCs w:val="false"/>
        </w:rPr>
      </w:pPr>
      <w:r>
        <w:rPr>
          <w:rStyle w:val="Strong"/>
          <w:i/>
          <w:iCs/>
          <w:color w:val="000000"/>
        </w:rPr>
        <w:t xml:space="preserve">Слайд 40. </w:t>
      </w:r>
      <w:r>
        <w:rPr>
          <w:rStyle w:val="Strong"/>
          <w:b w:val="false"/>
          <w:bCs w:val="false"/>
        </w:rPr>
        <w:t>Система трудоустройства студенческой молодежи развивается в сотрудничестве Министерства с образовательными организациями.</w:t>
      </w:r>
      <w:r>
        <w:rPr/>
        <w:t xml:space="preserve"> </w:t>
      </w:r>
      <w:r>
        <w:rPr>
          <w:rStyle w:val="Strong"/>
          <w:b w:val="false"/>
          <w:bCs w:val="false"/>
        </w:rPr>
        <w:t>Наиболее востребованным и динамично развивающимся на сегодняшний день является производственное направление. В 2024 году на предприятиях КАМАЗ, ОЭЗ «Алабуга», «Завод имени Серго», «Позис», «Ремдизель» и других отработали более 5 тыс. студентов.</w:t>
      </w:r>
    </w:p>
    <w:p>
      <w:pPr>
        <w:pStyle w:val="BodyText"/>
        <w:spacing w:lineRule="auto" w:line="360"/>
        <w:ind w:firstLine="567" w:left="0" w:right="0"/>
        <w:rPr>
          <w:rStyle w:val="Strong"/>
          <w:b w:val="false"/>
          <w:bCs w:val="false"/>
        </w:rPr>
      </w:pPr>
      <w:r>
        <w:rPr>
          <w:rStyle w:val="Strong"/>
          <w:b w:val="false"/>
          <w:bCs w:val="false"/>
        </w:rPr>
        <w:t xml:space="preserve">Говоря о предприятиях, понимая важность профориентационной работы среди подрастающего поколения выходим с инициативой к их руководителям взять </w:t>
      </w:r>
      <w:r>
        <w:rPr>
          <w:rStyle w:val="Strong"/>
        </w:rPr>
        <w:t>шефство над подростковыми клубами с организацией инженерных направлений деятельности. Завтра э</w:t>
      </w:r>
      <w:r>
        <w:rPr>
          <w:rStyle w:val="Strong"/>
          <w:b w:val="false"/>
          <w:bCs w:val="false"/>
        </w:rPr>
        <w:t xml:space="preserve">то позволит нам вовлечь в полезный досуг максимальное количество подростков, а в обозримом будущем – получить мотивированных и заинтересованных сотрудников. </w:t>
      </w:r>
    </w:p>
    <w:p>
      <w:pPr>
        <w:pStyle w:val="BodyText"/>
        <w:spacing w:lineRule="auto" w:line="360"/>
        <w:ind w:firstLine="567" w:left="0" w:right="0"/>
        <w:rPr/>
      </w:pPr>
      <w:r>
        <w:rPr>
          <w:rStyle w:val="Strong"/>
          <w:i/>
          <w:iCs/>
          <w:color w:val="000000"/>
        </w:rPr>
        <w:t xml:space="preserve">Слайд 41. </w:t>
      </w:r>
      <w:r>
        <w:rPr>
          <w:rStyle w:val="Strong"/>
        </w:rPr>
        <w:t>Уважаемые депутаты!</w:t>
      </w:r>
      <w:r>
        <w:rPr>
          <w:rStyle w:val="Strong"/>
          <w:b w:val="false"/>
          <w:bCs w:val="false"/>
        </w:rPr>
        <w:t xml:space="preserve"> Широкий спектр проектов: от профессионального развития молодежи и патриотического воспитания до добровольческих инициатив и творческих мероприятий – реализуется региональными молодежными общественными объединениями. В 2024 году  Министерством была оказана государственная поддержка на сумму более полумиллиарда рублей </w:t>
      </w:r>
      <w:r>
        <w:rPr>
          <w:rStyle w:val="Strong"/>
          <w:b w:val="false"/>
          <w:bCs w:val="false"/>
          <w:sz w:val="24"/>
        </w:rPr>
        <w:t>(572,9 млн рублей)</w:t>
      </w:r>
      <w:r>
        <w:rPr>
          <w:rStyle w:val="Strong"/>
          <w:b w:val="false"/>
          <w:bCs w:val="false"/>
        </w:rPr>
        <w:t xml:space="preserve">. </w:t>
      </w:r>
    </w:p>
    <w:p>
      <w:pPr>
        <w:pStyle w:val="BodyText"/>
        <w:spacing w:lineRule="auto" w:line="360"/>
        <w:ind w:firstLine="567" w:left="0" w:right="0"/>
        <w:rPr/>
      </w:pPr>
      <w:r>
        <w:rPr>
          <w:rStyle w:val="Strong"/>
          <w:i/>
          <w:iCs/>
          <w:color w:val="000000"/>
        </w:rPr>
        <w:t xml:space="preserve">Слайд 42. </w:t>
      </w:r>
      <w:r>
        <w:rPr>
          <w:rStyle w:val="Strong"/>
          <w:b w:val="false"/>
          <w:bCs w:val="false"/>
        </w:rPr>
        <w:t xml:space="preserve">Сегодня активно расширяется сеть представительств молодежных объединений в муниципальных образованиях республики. Яркой иллюстрацией такого подхода является «Движение первых», которое успешно развивает свою деятельность во всех районах и городах Татарстана, обеспечивая широкий территориальный охват и вовлеченность молодежи из разных уголков республики. </w:t>
      </w:r>
    </w:p>
    <w:p>
      <w:pPr>
        <w:pStyle w:val="BodyText"/>
        <w:spacing w:lineRule="auto" w:line="360"/>
        <w:ind w:firstLine="567" w:left="0" w:right="0"/>
        <w:rPr/>
      </w:pPr>
      <w:r>
        <w:rPr>
          <w:rStyle w:val="Strong"/>
          <w:i/>
          <w:iCs/>
          <w:color w:val="000000"/>
        </w:rPr>
        <w:t xml:space="preserve">Слайд 43. </w:t>
      </w:r>
      <w:r>
        <w:rPr>
          <w:rStyle w:val="Strong"/>
          <w:b w:val="false"/>
          <w:iCs/>
          <w:color w:val="000000"/>
        </w:rPr>
        <w:t>О</w:t>
      </w:r>
      <w:r>
        <w:rPr>
          <w:rStyle w:val="Strong"/>
          <w:b w:val="false"/>
          <w:bCs w:val="false"/>
        </w:rPr>
        <w:t xml:space="preserve">твечая на еще один вызов, Министерством продолжается работа по наращиванию своего присутствия в интернете: ежедневно разнообразные материалы публикуются в социальных сетях, запускаются и ведутся аккаунты, работа с агентством Татмедиа, в 24 году был организован тур по городам Татарстана с участием блогеров из 11 городов России с общим количеством подписчиков 30 млн человек. Наряду с этим организованы медиашколы, конкурс «Алтын калэм-Золотое перо», где победители получают возможность поступить в вуз по направлению медиа на безвозмездной основе. </w:t>
      </w:r>
    </w:p>
    <w:p>
      <w:pPr>
        <w:pStyle w:val="BodyText"/>
        <w:spacing w:lineRule="auto" w:line="360"/>
        <w:ind w:firstLine="567" w:left="0" w:right="0"/>
        <w:rPr>
          <w:rStyle w:val="Strong"/>
          <w:b w:val="false"/>
          <w:bCs w:val="false"/>
        </w:rPr>
      </w:pPr>
      <w:r>
        <w:rPr>
          <w:b w:val="false"/>
          <w:bCs w:val="false"/>
        </w:rPr>
      </w:r>
    </w:p>
    <w:p>
      <w:pPr>
        <w:pStyle w:val="BodyText"/>
        <w:spacing w:lineRule="auto" w:line="360"/>
        <w:ind w:firstLine="567" w:left="0" w:right="0"/>
        <w:rPr>
          <w:rStyle w:val="Strong"/>
          <w:b w:val="false"/>
          <w:bCs w:val="false"/>
        </w:rPr>
      </w:pPr>
      <w:r>
        <w:rPr>
          <w:rStyle w:val="Strong"/>
          <w:b w:val="false"/>
          <w:bCs w:val="false"/>
        </w:rPr>
        <w:t>Уважаемые депутаты! Завершая свое выступление, благодарю Вас за конструктивное сотрудничество.</w:t>
      </w:r>
    </w:p>
    <w:p>
      <w:pPr>
        <w:pStyle w:val="BodyText"/>
        <w:spacing w:lineRule="auto" w:line="360"/>
        <w:ind w:firstLine="567" w:left="0" w:right="0"/>
        <w:rPr/>
      </w:pPr>
      <w:r>
        <w:rPr>
          <w:rStyle w:val="Strong"/>
          <w:b w:val="false"/>
          <w:bCs w:val="false"/>
        </w:rPr>
        <w:t>Безусловно, мы не останавливаемся на достигнутом. Уверен, что совместными усилиями мы сможем не только сохранить достигнутые результаты, но и значительно приумножить их, создавая для нашей молодежи все необходимые условия для профессионального роста и достойного вклада в процветание Республики Татарстан, ведь инвестиции в молодое поколение сегодня – это гарантия успешного будущего нашей республики завтра.</w:t>
      </w:r>
    </w:p>
    <w:p>
      <w:pPr>
        <w:pStyle w:val="BodyText"/>
        <w:spacing w:lineRule="auto" w:line="360"/>
        <w:ind w:firstLine="567" w:left="0" w:right="0"/>
        <w:rPr>
          <w:rStyle w:val="Strong"/>
          <w:b w:val="false"/>
          <w:bCs w:val="false"/>
        </w:rPr>
      </w:pPr>
      <w:r>
        <w:rPr>
          <w:rStyle w:val="Strong"/>
          <w:i/>
          <w:iCs/>
          <w:color w:val="000000"/>
        </w:rPr>
        <w:t xml:space="preserve">Слайд 44. </w:t>
      </w:r>
      <w:r>
        <w:rPr>
          <w:rStyle w:val="Strong"/>
          <w:b w:val="false"/>
          <w:bCs w:val="false"/>
        </w:rPr>
        <w:t>Спасибо за внимание! Готов ответить на вопросы.</w:t>
      </w:r>
    </w:p>
    <w:p>
      <w:pPr>
        <w:pStyle w:val="BodyText"/>
        <w:spacing w:lineRule="auto" w:line="360"/>
        <w:ind w:firstLine="567" w:left="0" w:right="0"/>
        <w:rPr>
          <w:rStyle w:val="Strong"/>
          <w:b w:val="false"/>
          <w:bCs w:val="false"/>
        </w:rPr>
      </w:pPr>
      <w:r>
        <w:rPr>
          <w:b w:val="false"/>
          <w:bCs w:val="false"/>
        </w:rPr>
      </w:r>
    </w:p>
    <w:p>
      <w:pPr>
        <w:pStyle w:val="BodyText"/>
        <w:spacing w:lineRule="auto" w:line="360"/>
        <w:ind w:firstLine="567" w:left="0" w:right="0"/>
        <w:rPr>
          <w:rStyle w:val="Strong"/>
          <w:b w:val="false"/>
          <w:bCs w:val="false"/>
        </w:rPr>
      </w:pPr>
      <w:r>
        <w:rPr>
          <w:b w:val="false"/>
          <w:bCs w:val="false"/>
        </w:rPr>
      </w:r>
    </w:p>
    <w:p>
      <w:pPr>
        <w:pStyle w:val="BodyText"/>
        <w:spacing w:lineRule="auto" w:line="360"/>
        <w:ind w:firstLine="567" w:left="0" w:right="0"/>
        <w:rPr>
          <w:rStyle w:val="Strong"/>
          <w:b w:val="false"/>
          <w:bCs w:val="false"/>
        </w:rPr>
      </w:pPr>
      <w:r>
        <w:rPr>
          <w:b w:val="false"/>
          <w:bCs w:val="false"/>
        </w:rPr>
      </w:r>
    </w:p>
    <w:p>
      <w:pPr>
        <w:pStyle w:val="BodyText"/>
        <w:spacing w:lineRule="auto" w:line="360"/>
        <w:ind w:firstLine="567" w:left="0" w:right="0"/>
        <w:rPr/>
      </w:pPr>
      <w:r>
        <w:rPr/>
      </w:r>
    </w:p>
    <w:sectPr>
      <w:type w:val="nextPage"/>
      <w:pgSz w:w="11906" w:h="16838"/>
      <w:pgMar w:left="1134" w:right="567" w:gutter="0" w:header="0" w:top="1134"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Liberation Serif">
    <w:altName w:val="Times New Roman"/>
    <w:charset w:val="01"/>
    <w:family w:val="roman"/>
    <w:pitch w:val="default"/>
  </w:font>
  <w:font w:name="OpenSymbol">
    <w:altName w:val="Arial Unicode MS"/>
    <w:charset w:val="01"/>
    <w:family w:val="roman"/>
    <w:pitch w:val="default"/>
  </w:font>
  <w:font w:name="UICTFontTextStyleBody">
    <w:charset w:val="01"/>
    <w:family w:val="roman"/>
    <w:pitch w:val="default"/>
  </w:font>
  <w:font w:name="Arial">
    <w:charset w:val="01"/>
    <w:family w:val="roman"/>
    <w:pitch w:val="default"/>
  </w:font>
  <w:font w:name="Cambria">
    <w:charset w:val="01"/>
    <w:family w:val="roman"/>
    <w:pitch w:val="default"/>
  </w:font>
  <w:font w:name="Consolas">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2">
    <w:name w:val="Heading 2"/>
    <w:basedOn w:val="Title"/>
    <w:next w:val="BodyText"/>
    <w:uiPriority w:val="9"/>
    <w:unhideWhenUsed/>
    <w:qFormat/>
    <w:pPr>
      <w:spacing w:before="200" w:after="120"/>
      <w:ind w:left="0"/>
      <w:outlineLvl w:val="1"/>
    </w:pPr>
    <w:rPr>
      <w:rFonts w:ascii="Liberation Serif" w:hAnsi="Liberation Serif" w:eastAsia="DejaVu Sans" w:cs="DejaVu Sans"/>
      <w:sz w:val="36"/>
      <w:szCs w:val="36"/>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Style13" w:customStyle="1">
    <w:name w:val="Маркеры"/>
    <w:qFormat/>
    <w:rPr>
      <w:rFonts w:ascii="OpenSymbol" w:hAnsi="OpenSymbol" w:eastAsia="OpenSymbol" w:cs="OpenSymbol"/>
    </w:rPr>
  </w:style>
  <w:style w:type="character" w:styleId="DefaultParagraphFont1" w:customStyle="1">
    <w:name w:val="Default Paragraph Font1"/>
    <w:qFormat/>
    <w:rPr/>
  </w:style>
  <w:style w:type="character" w:styleId="S1" w:customStyle="1">
    <w:name w:val="s1"/>
    <w:basedOn w:val="DefaultParagraphFont1"/>
    <w:qFormat/>
    <w:rPr>
      <w:rFonts w:ascii="UICTFontTextStyleBody" w:hAnsi="UICTFontTextStyleBody" w:cs="UICTFontTextStyleBody"/>
      <w:b w:val="false"/>
      <w:bCs w:val="false"/>
      <w:i w:val="false"/>
      <w:iCs w:val="false"/>
      <w:sz w:val="29"/>
      <w:szCs w:val="29"/>
    </w:rPr>
  </w:style>
  <w:style w:type="character" w:styleId="Style14" w:customStyle="1">
    <w:name w:val="Символ нумерации"/>
    <w:qFormat/>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FootnoteTextChar" w:customStyle="1">
    <w:name w:val="Footnote Text Char"/>
    <w:qFormat/>
    <w:rPr>
      <w:sz w:val="18"/>
    </w:rPr>
  </w:style>
  <w:style w:type="character" w:styleId="EndnoteTextChar" w:customStyle="1">
    <w:name w:val="Endnote Text Char"/>
    <w:qFormat/>
    <w:rPr>
      <w:sz w:val="20"/>
    </w:rPr>
  </w:style>
  <w:style w:type="character" w:styleId="2" w:customStyle="1">
    <w:name w:val="Заголовок 2 Знак"/>
    <w:qFormat/>
    <w:rPr>
      <w:rFonts w:ascii="Cambria" w:hAnsi="Cambria" w:eastAsia="0" w:cs="0"/>
      <w:color w:val="365F91"/>
      <w:sz w:val="26"/>
      <w:szCs w:val="26"/>
    </w:rPr>
  </w:style>
  <w:style w:type="character" w:styleId="Style15" w:customStyle="1">
    <w:name w:val="Текст Знак"/>
    <w:qFormat/>
    <w:rPr>
      <w:rFonts w:ascii="Consolas" w:hAnsi="Consolas" w:eastAsia="Calibri" w:cs="Times New Roman"/>
      <w:color w:val="000000"/>
      <w:sz w:val="21"/>
      <w:szCs w:val="21"/>
      <w:lang w:eastAsia="en-US"/>
    </w:rPr>
  </w:style>
  <w:style w:type="character" w:styleId="21" w:customStyle="1">
    <w:name w:val="Основной текст с отступом 2 Знак"/>
    <w:qFormat/>
    <w:rPr>
      <w:sz w:val="24"/>
      <w:szCs w:val="24"/>
    </w:rPr>
  </w:style>
  <w:style w:type="character" w:styleId="Style16" w:customStyle="1">
    <w:name w:val="Основной текст с отступом Знак"/>
    <w:qFormat/>
    <w:rPr>
      <w:sz w:val="24"/>
      <w:szCs w:val="24"/>
    </w:rPr>
  </w:style>
  <w:style w:type="character" w:styleId="Style17" w:customStyle="1">
    <w:name w:val="Нижний колонтитул Знак"/>
    <w:qFormat/>
    <w:rPr>
      <w:sz w:val="24"/>
      <w:szCs w:val="24"/>
    </w:rPr>
  </w:style>
  <w:style w:type="character" w:styleId="Style18" w:customStyle="1">
    <w:name w:val="Верхний колонтитул Знак"/>
    <w:qFormat/>
    <w:rPr>
      <w:sz w:val="24"/>
      <w:szCs w:val="24"/>
    </w:rPr>
  </w:style>
  <w:style w:type="character" w:styleId="1" w:customStyle="1">
    <w:name w:val="Заголовок 1 Знак"/>
    <w:qFormat/>
    <w:rPr>
      <w:sz w:val="28"/>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ind w:firstLine="566" w:left="140" w:right="138"/>
      <w:jc w:val="both"/>
    </w:pPr>
    <w:rPr>
      <w:sz w:val="28"/>
      <w:szCs w:val="28"/>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Title">
    <w:name w:val="Title"/>
    <w:basedOn w:val="Normal"/>
    <w:next w:val="BodyText"/>
    <w:uiPriority w:val="10"/>
    <w:qFormat/>
    <w:pPr>
      <w:spacing w:before="72" w:after="0"/>
      <w:ind w:left="1069"/>
    </w:pPr>
    <w:rPr>
      <w:b/>
      <w:bCs/>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aption11" w:customStyle="1">
    <w:name w:val="caption11"/>
    <w:basedOn w:val="Normal"/>
    <w:qFormat/>
    <w:pPr>
      <w:suppressLineNumbers/>
      <w:spacing w:before="120" w:after="120"/>
    </w:pPr>
    <w:rPr>
      <w:rFonts w:ascii="PT Astra Serif" w:hAnsi="PT Astra Serif" w:cs="Noto Sans Devanagari"/>
      <w:i/>
      <w:iCs/>
      <w:sz w:val="24"/>
      <w:szCs w:val="24"/>
    </w:rPr>
  </w:style>
  <w:style w:type="paragraph" w:styleId="ListParagraph">
    <w:name w:val="List Paragraph"/>
    <w:basedOn w:val="Normal"/>
    <w:qFormat/>
    <w:pPr/>
    <w:rPr/>
  </w:style>
  <w:style w:type="paragraph" w:styleId="TableParagraph" w:customStyle="1">
    <w:name w:val="Table Paragraph"/>
    <w:basedOn w:val="Normal"/>
    <w:qFormat/>
    <w:pPr/>
    <w:rPr/>
  </w:style>
  <w:style w:type="paragraph" w:styleId="Standard" w:customStyle="1">
    <w:name w:val="Standard"/>
    <w:qFormat/>
    <w:pPr>
      <w:widowControl/>
      <w:suppressAutoHyphens w:val="true"/>
      <w:overflowPunct w:val="true"/>
      <w:bidi w:val="0"/>
      <w:spacing w:lineRule="auto" w:line="259" w:before="0" w:after="160"/>
      <w:jc w:val="left"/>
      <w:textAlignment w:val="baseline"/>
    </w:pPr>
    <w:rPr>
      <w:rFonts w:cs="Tahoma" w:ascii="Calibri" w:hAnsi="Calibri" w:eastAsia="Calibri"/>
      <w:color w:val="auto"/>
      <w:kern w:val="0"/>
      <w:sz w:val="22"/>
      <w:szCs w:val="22"/>
      <w:lang w:val="ru-RU" w:eastAsia="en-US" w:bidi="ar-SA"/>
    </w:rPr>
  </w:style>
  <w:style w:type="paragraph" w:styleId="Quote">
    <w:name w:val="Quote"/>
    <w:basedOn w:val="Normal"/>
    <w:qFormat/>
    <w:pPr>
      <w:ind w:left="720" w:right="72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ableofFigures">
    <w:name w:val="Table of Figures"/>
    <w:basedOn w:val="Normal"/>
    <w:qFormat/>
    <w:pPr/>
    <w:rPr/>
  </w:style>
  <w:style w:type="paragraph" w:styleId="NoSpacing">
    <w:name w:val="No Spacing"/>
    <w:basedOn w:val="Normal"/>
    <w:qFormat/>
    <w:pPr>
      <w:spacing w:lineRule="exact" w:line="240"/>
    </w:pPr>
    <w:rPr/>
  </w:style>
  <w:style w:type="paragraph" w:styleId="NormalWeb">
    <w:name w:val="Normal (Web)"/>
    <w:qFormat/>
    <w:pPr>
      <w:widowControl/>
      <w:suppressAutoHyphens w:val="true"/>
      <w:overflowPunct w:val="true"/>
      <w:bidi w:val="0"/>
      <w:spacing w:before="280" w:after="280"/>
      <w:jc w:val="left"/>
    </w:pPr>
    <w:rPr>
      <w:rFonts w:ascii="Times New Roman" w:hAnsi="Times New Roman" w:eastAsia="Times New Roman" w:cs="Arial"/>
      <w:color w:val="auto"/>
      <w:kern w:val="0"/>
      <w:sz w:val="24"/>
      <w:szCs w:val="24"/>
      <w:lang w:val="ru-RU" w:eastAsia="ru-RU" w:bidi="ar-SA"/>
    </w:rPr>
  </w:style>
  <w:style w:type="paragraph" w:styleId="PlainText">
    <w:name w:val="Plain Text"/>
    <w:basedOn w:val="Normal"/>
    <w:qFormat/>
    <w:pPr/>
    <w:rPr>
      <w:rFonts w:ascii="Consolas" w:hAnsi="Consolas" w:eastAsia="Calibri"/>
      <w:sz w:val="21"/>
      <w:szCs w:val="21"/>
    </w:rPr>
  </w:style>
  <w:style w:type="paragraph" w:styleId="BodyTextIndent2">
    <w:name w:val="Body Text Indent 2"/>
    <w:basedOn w:val="Normal"/>
    <w:qFormat/>
    <w:pPr>
      <w:spacing w:lineRule="auto" w:line="480" w:before="0" w:after="120"/>
      <w:ind w:left="283"/>
    </w:pPr>
    <w:rPr/>
  </w:style>
  <w:style w:type="paragraph" w:styleId="BlockText">
    <w:name w:val="Block Text"/>
    <w:basedOn w:val="Normal"/>
    <w:qFormat/>
    <w:pPr>
      <w:spacing w:before="120" w:after="0"/>
      <w:ind w:left="6095" w:right="284"/>
      <w:jc w:val="both"/>
    </w:pPr>
    <w:rPr>
      <w:b/>
      <w:sz w:val="28"/>
      <w:szCs w:val="20"/>
      <w:lang w:val="en-US"/>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LibreOffice/7.6.7.2$Linux_X86_64 LibreOffice_project/60$Build-2</Application>
  <AppVersion>15.0000</AppVersion>
  <Pages>9</Pages>
  <Words>2073</Words>
  <Characters>14470</Characters>
  <CharactersWithSpaces>16538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2025-06-10T18:02:00Z</dcterms:created>
  <dc:creator>Разиля Замалова</dc:creator>
  <dc:description/>
  <dc:language>ru-RU</dc:language>
  <cp:lastModifiedBy>Разиля Замалова</cp:lastModifiedBy>
  <cp:lastPrinted>2025-06-11T06:15:00Z</cp:lastPrinted>
  <dcterms:modified xsi:type="dcterms:W3CDTF">2025-06-11T06:15:00Z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Microsoft® Word 2016</vt:lpwstr>
  </property>
</Properties>
</file>