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82BE5" w14:textId="77777777" w:rsidR="00E2087B" w:rsidRPr="00E412F1" w:rsidRDefault="00E2087B" w:rsidP="009133CE">
      <w:pPr>
        <w:widowControl w:val="0"/>
        <w:spacing w:after="0" w:line="36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57B331DA" w14:textId="77777777" w:rsidR="009133CE" w:rsidRPr="009133CE" w:rsidRDefault="009133CE" w:rsidP="009133CE">
      <w:pPr>
        <w:widowControl w:val="0"/>
        <w:spacing w:after="0" w:line="36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Татарстан </w:t>
      </w:r>
      <w:proofErr w:type="spellStart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Республикасы</w:t>
      </w:r>
      <w:proofErr w:type="spellEnd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</w:t>
      </w:r>
      <w:proofErr w:type="spellStart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Яшьләр</w:t>
      </w:r>
      <w:proofErr w:type="spellEnd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</w:t>
      </w:r>
      <w:proofErr w:type="spellStart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эшләре</w:t>
      </w:r>
      <w:proofErr w:type="spellEnd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</w:t>
      </w:r>
      <w:proofErr w:type="spellStart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министрлыгының</w:t>
      </w:r>
      <w:proofErr w:type="spellEnd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</w:t>
      </w:r>
    </w:p>
    <w:p w14:paraId="108C4FB7" w14:textId="6107495C" w:rsidR="009133CE" w:rsidRPr="009133CE" w:rsidRDefault="009133CE" w:rsidP="009133CE">
      <w:pPr>
        <w:widowControl w:val="0"/>
        <w:spacing w:after="0" w:line="36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2022 </w:t>
      </w:r>
      <w:proofErr w:type="spellStart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елның</w:t>
      </w:r>
      <w:proofErr w:type="spellEnd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2</w:t>
      </w:r>
      <w:r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>9 августы</w:t>
      </w:r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-</w:t>
      </w:r>
      <w:r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>5</w:t>
      </w:r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  <w:t>сентябре</w:t>
      </w:r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</w:t>
      </w:r>
      <w:proofErr w:type="spellStart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көннәренә</w:t>
      </w:r>
      <w:proofErr w:type="spellEnd"/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 xml:space="preserve"> </w:t>
      </w:r>
    </w:p>
    <w:p w14:paraId="771BE68C" w14:textId="71DAD8F3" w:rsidR="00CF2214" w:rsidRDefault="009133CE" w:rsidP="009133CE">
      <w:pPr>
        <w:widowControl w:val="0"/>
        <w:spacing w:after="0" w:line="36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r w:rsidRPr="009133CE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ЧАРАЛАР ПЛАНЫ</w:t>
      </w:r>
    </w:p>
    <w:p w14:paraId="6F962EB4" w14:textId="77777777" w:rsidR="009133CE" w:rsidRPr="009133CE" w:rsidRDefault="009133CE" w:rsidP="009133C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080"/>
        <w:gridCol w:w="3545"/>
        <w:gridCol w:w="7821"/>
      </w:tblGrid>
      <w:tr w:rsidR="00830CF0" w:rsidRPr="00E412F1" w14:paraId="7142BCCF" w14:textId="77777777" w:rsidTr="009133CE">
        <w:trPr>
          <w:trHeight w:val="829"/>
        </w:trPr>
        <w:tc>
          <w:tcPr>
            <w:tcW w:w="192" w:type="pct"/>
          </w:tcPr>
          <w:p w14:paraId="04687CB4" w14:textId="77777777" w:rsidR="00830CF0" w:rsidRPr="009133CE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9133CE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№</w:t>
            </w:r>
          </w:p>
          <w:p w14:paraId="3784B1F9" w14:textId="77777777" w:rsidR="00830CF0" w:rsidRPr="009133CE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25" w:type="pct"/>
          </w:tcPr>
          <w:p w14:paraId="78AC7A37" w14:textId="33183314" w:rsidR="00830CF0" w:rsidRPr="009133CE" w:rsidRDefault="009133CE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  <w:t>Көне</w:t>
            </w:r>
          </w:p>
          <w:p w14:paraId="0BD98B3E" w14:textId="1FA138BA" w:rsidR="00830CF0" w:rsidRPr="009133CE" w:rsidRDefault="00830CF0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</w:tcPr>
          <w:p w14:paraId="530607DD" w14:textId="6C8EBA82" w:rsidR="00830CF0" w:rsidRPr="009133CE" w:rsidRDefault="009133CE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  <w:t>Чара исеме</w:t>
            </w:r>
          </w:p>
          <w:p w14:paraId="29688107" w14:textId="77777777" w:rsidR="00830CF0" w:rsidRPr="009133CE" w:rsidRDefault="00830CF0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03" w:type="pct"/>
          </w:tcPr>
          <w:p w14:paraId="66DE8C0F" w14:textId="55DC0115" w:rsidR="00830CF0" w:rsidRPr="009133CE" w:rsidRDefault="009133CE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highlight w:val="yellow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  <w:t>Кыскача мәг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ъл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  <w:t>үмат</w:t>
            </w:r>
          </w:p>
        </w:tc>
      </w:tr>
      <w:tr w:rsidR="00830CF0" w:rsidRPr="00E412F1" w14:paraId="589E30FF" w14:textId="77777777" w:rsidTr="009133CE">
        <w:trPr>
          <w:trHeight w:val="82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958" w14:textId="77777777" w:rsidR="00830CF0" w:rsidRPr="009133CE" w:rsidRDefault="00830CF0" w:rsidP="00AE0375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48D" w14:textId="641466D8" w:rsidR="00830CF0" w:rsidRPr="009133C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26 – 30</w:t>
            </w:r>
            <w:r w:rsidR="009133CE"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август</w:t>
            </w:r>
          </w:p>
          <w:p w14:paraId="215E8D4B" w14:textId="77777777" w:rsidR="00830CF0" w:rsidRPr="009133C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732751BC" w14:textId="184C831A" w:rsidR="00830CF0" w:rsidRPr="009133CE" w:rsidRDefault="009133CE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r w:rsidR="00830CF0"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Ратуша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F0D" w14:textId="55B90913" w:rsidR="00830CF0" w:rsidRPr="009133CE" w:rsidRDefault="009133CE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Глобаль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</w:t>
            </w:r>
            <w:proofErr w:type="gram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саммиты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EE0" w14:textId="1DC3B000" w:rsidR="009133CE" w:rsidRDefault="009133CE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Чарада </w:t>
            </w: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ИХО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илләренең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яшьләр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эшләре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спорт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министрлары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ИХО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илләренең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гадәттән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тыш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Тулы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вәкаләтле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илчеләре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ИХО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илләренең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генераль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консуллары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яшьләр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оешмалары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лидерлары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яшьләр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сәясәте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белән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шөгыльләнүче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халыкара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оешмалар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вәкилләре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фикер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лидерлары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эшмәкәрләр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фәнни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җәмәгатьчелек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вәкилләре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җыелачак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 </w:t>
            </w:r>
          </w:p>
          <w:p w14:paraId="5287E052" w14:textId="77777777" w:rsidR="009133CE" w:rsidRDefault="009133CE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</w:p>
          <w:p w14:paraId="4F25598B" w14:textId="2F85B06D" w:rsidR="009133CE" w:rsidRPr="009133CE" w:rsidRDefault="009133CE" w:rsidP="009133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Саммит Казан шәһәренә «ИХО – 2022 Яшьләр башкаласы»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статусын бирү кысаларында төп вакыйга булып тора.</w:t>
            </w:r>
          </w:p>
          <w:p w14:paraId="66E90B80" w14:textId="77777777" w:rsidR="009133CE" w:rsidRPr="009133CE" w:rsidRDefault="009133CE" w:rsidP="009133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</w:p>
          <w:p w14:paraId="7151E2F9" w14:textId="712D331A" w:rsidR="00830CF0" w:rsidRPr="009133CE" w:rsidRDefault="009133CE" w:rsidP="009133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Катнашучылар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саны</w:t>
            </w: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: 200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кеше</w:t>
            </w:r>
          </w:p>
        </w:tc>
      </w:tr>
      <w:tr w:rsidR="00830CF0" w:rsidRPr="00E412F1" w14:paraId="09AD2299" w14:textId="77777777" w:rsidTr="009133CE">
        <w:trPr>
          <w:trHeight w:val="308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2F" w14:textId="77777777" w:rsidR="00830CF0" w:rsidRPr="009133CE" w:rsidRDefault="00830CF0" w:rsidP="00AE0375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566" w14:textId="6FB4C486" w:rsidR="00830CF0" w:rsidRPr="009133CE" w:rsidRDefault="009133CE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30 август</w:t>
            </w:r>
          </w:p>
          <w:p w14:paraId="0E71C780" w14:textId="77777777" w:rsidR="00830CF0" w:rsidRPr="009133C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352096E" w14:textId="50F9B962" w:rsidR="00830CF0" w:rsidRPr="009133C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«УРАМ»</w:t>
            </w:r>
            <w:r w:rsid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яшьлә</w:t>
            </w:r>
            <w:proofErr w:type="gramStart"/>
            <w:r w:rsid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р</w:t>
            </w:r>
            <w:proofErr w:type="gramEnd"/>
            <w:r w:rsid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экстрим-паркы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04E" w14:textId="1E0F8302" w:rsidR="00830CF0" w:rsidRPr="00076A0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«УРАМ»</w:t>
            </w:r>
            <w:r w:rsid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урам мәдәиятләре республика фестивале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209" w14:textId="77777777" w:rsidR="00076A0E" w:rsidRPr="00076A0E" w:rsidRDefault="00076A0E" w:rsidP="00076A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«УРАМ» республика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урам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мәдәнияте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фестивале экстремаль спорт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төрләре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заманча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иҗ</w:t>
            </w:r>
            <w:proofErr w:type="gram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ат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proofErr w:type="gram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урам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сәнгате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вәкилләрен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мәйданда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берләштерә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7D7BAF07" w14:textId="77777777" w:rsidR="00076A0E" w:rsidRDefault="00076A0E" w:rsidP="00076A0E">
            <w:pPr>
              <w:pStyle w:val="aa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Фестиваль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кысаларында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велосипед мотокроссы, самокат,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паркур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скейтборд,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фингерд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воркаут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футбол,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стритбол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буенча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ярышлар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урам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мәдәнияте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өлкәсендә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белем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бирү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лекцияләре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мастер-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класслар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бию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баттллары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шулай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ук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музыка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артистлары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хедлайнер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чыгышлары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көтелә</w:t>
            </w: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15B87708" w14:textId="0CF69855" w:rsidR="00830CF0" w:rsidRPr="009133CE" w:rsidRDefault="00076A0E" w:rsidP="00076A0E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tt-RU" w:eastAsia="ru-RU"/>
              </w:rPr>
              <w:t>атнашучылар саны</w:t>
            </w:r>
            <w:r w:rsidR="00830CF0" w:rsidRPr="009133CE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: 4000</w:t>
            </w:r>
          </w:p>
        </w:tc>
      </w:tr>
      <w:tr w:rsidR="00830CF0" w:rsidRPr="00E412F1" w14:paraId="6667283B" w14:textId="77777777" w:rsidTr="009133CE">
        <w:trPr>
          <w:trHeight w:val="82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7C0" w14:textId="77777777" w:rsidR="00830CF0" w:rsidRPr="009133CE" w:rsidRDefault="00830CF0" w:rsidP="00AE0375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ED6" w14:textId="3FFE8F33" w:rsidR="00830CF0" w:rsidRPr="009133CE" w:rsidRDefault="009133CE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30 август</w:t>
            </w:r>
          </w:p>
          <w:p w14:paraId="273634B1" w14:textId="77777777" w:rsidR="00830CF0" w:rsidRPr="009133C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4F541586" w14:textId="615688CE" w:rsidR="009133CE" w:rsidRPr="009133CE" w:rsidRDefault="009133CE" w:rsidP="009133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Галиәсгар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Камал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исемендәге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татар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дәү</w:t>
            </w:r>
            <w:proofErr w:type="gram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</w:t>
            </w:r>
            <w:proofErr w:type="gram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әт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академия театры</w:t>
            </w:r>
          </w:p>
          <w:p w14:paraId="01EB177B" w14:textId="5CA9A080" w:rsidR="00830CF0" w:rsidRPr="009133C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E49" w14:textId="1BB58E69" w:rsidR="00830CF0" w:rsidRPr="00076A0E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 «Наше время –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Безнен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заман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 w:rsid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фестивале</w:t>
            </w:r>
            <w:proofErr w:type="gramEnd"/>
            <w:r w:rsid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лауреатларының зур кон</w:t>
            </w:r>
            <w:proofErr w:type="spellStart"/>
            <w:r w:rsid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церты</w:t>
            </w:r>
            <w:proofErr w:type="spellEnd"/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3D9" w14:textId="242F6BE0" w:rsidR="00830CF0" w:rsidRPr="009133CE" w:rsidRDefault="00076A0E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к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өнен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бәйрәм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ит</w:t>
            </w:r>
            <w:proofErr w:type="gram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уңаеннан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Галиәскәр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Камал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исемендәге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театр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каршындагы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мәйда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нда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«Наше время-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Безнең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заман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эш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ләүч</w:t>
            </w: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иҗаты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фестивале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лауреатларының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зур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бәйрәм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концерты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узачак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4F297DA1" w14:textId="6AD110DF" w:rsidR="00830CF0" w:rsidRPr="009133CE" w:rsidRDefault="00076A0E" w:rsidP="00AE037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lastRenderedPageBreak/>
              <w:t>Катнашучыла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саны:</w:t>
            </w:r>
            <w:r w:rsidR="00830CF0" w:rsidRPr="009133CE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5000</w:t>
            </w:r>
          </w:p>
        </w:tc>
      </w:tr>
      <w:tr w:rsidR="00830CF0" w:rsidRPr="00E412F1" w14:paraId="2827C302" w14:textId="77777777" w:rsidTr="009133CE">
        <w:trPr>
          <w:trHeight w:val="82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418" w14:textId="77777777" w:rsidR="00830CF0" w:rsidRPr="009133CE" w:rsidRDefault="00830CF0" w:rsidP="006A65E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B52" w14:textId="53078B29" w:rsidR="00830CF0" w:rsidRPr="009133CE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30</w:t>
            </w:r>
            <w:r w:rsidR="009133CE"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август</w:t>
            </w:r>
          </w:p>
          <w:p w14:paraId="3C8E65AB" w14:textId="77777777" w:rsidR="00830CF0" w:rsidRPr="009133CE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725AAD5" w14:textId="1CD25A35" w:rsidR="00830CF0" w:rsidRPr="009133CE" w:rsidRDefault="009133CE" w:rsidP="009133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</w:t>
            </w:r>
            <w:r w:rsidR="00830CF0"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Наратлык</w:t>
            </w:r>
            <w:r w:rsidR="00830CF0"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паркы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D79" w14:textId="261956EC" w:rsidR="00830CF0" w:rsidRPr="009133CE" w:rsidRDefault="00076A0E" w:rsidP="00076A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«Минем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йортым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– минем Республикам»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мәдәният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әңгәмә</w:t>
            </w: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</w:t>
            </w:r>
            <w:proofErr w:type="gram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чатыры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паркы</w:t>
            </w:r>
            <w:proofErr w:type="spellEnd"/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8A8E" w14:textId="12BFF842" w:rsidR="00076A0E" w:rsidRPr="00076A0E" w:rsidRDefault="00076A0E" w:rsidP="00076A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«Минем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йортым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– минем Республикам»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яшьлә</w:t>
            </w:r>
            <w:proofErr w:type="gram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чатыр</w:t>
            </w:r>
            <w:proofErr w:type="spell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паркы</w:t>
            </w:r>
            <w:proofErr w:type="spell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Татарстанда</w:t>
            </w:r>
            <w:proofErr w:type="spell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цифрлаштыру</w:t>
            </w:r>
            <w:proofErr w:type="spell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елы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шулай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ук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Россия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Федерациясендә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Россия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халыкларының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</w:t>
            </w:r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әдәни</w:t>
            </w:r>
            <w:proofErr w:type="spell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мирасы</w:t>
            </w:r>
            <w:proofErr w:type="spell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елы</w:t>
            </w:r>
            <w:proofErr w:type="spellEnd"/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уңаеннан оештырыган</w:t>
            </w: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Татарстан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Республикасында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милләтара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мөнәсәбәтләрне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гармонияләштерү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өлкәсендәге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иң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яхшы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тәҗрибәләрне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берләштерә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торган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проект.</w:t>
            </w:r>
          </w:p>
          <w:p w14:paraId="4AD0614F" w14:textId="77777777" w:rsidR="00D74BAB" w:rsidRDefault="00076A0E" w:rsidP="00076A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2022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елда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вакыйганы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«Татарстан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киберпанкы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="00D74BA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стилистикасында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үткә</w:t>
            </w:r>
            <w:proofErr w:type="gram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</w:t>
            </w:r>
            <w:proofErr w:type="gram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планлаштырыла</w:t>
            </w:r>
            <w:proofErr w:type="spellEnd"/>
            <w:r w:rsidRPr="00076A0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4400FA9B" w14:textId="3731E73F" w:rsidR="00830CF0" w:rsidRPr="009133CE" w:rsidRDefault="00076A0E" w:rsidP="00076A0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val="tt-RU" w:eastAsia="ru-RU"/>
              </w:rPr>
              <w:t>Катнашучылар саны:</w:t>
            </w:r>
            <w:r w:rsidR="00830CF0" w:rsidRPr="009133CE"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  <w:t xml:space="preserve"> 4000</w:t>
            </w:r>
          </w:p>
        </w:tc>
      </w:tr>
      <w:tr w:rsidR="00830CF0" w:rsidRPr="00E412F1" w14:paraId="3B6AF54F" w14:textId="77777777" w:rsidTr="009133CE">
        <w:trPr>
          <w:trHeight w:val="82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3F6" w14:textId="77777777" w:rsidR="00830CF0" w:rsidRPr="009133CE" w:rsidRDefault="00830CF0" w:rsidP="006A65E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7EB" w14:textId="3B81F922" w:rsidR="00830CF0" w:rsidRPr="009133CE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30</w:t>
            </w:r>
            <w:r w:rsidR="009133CE"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август</w:t>
            </w:r>
          </w:p>
          <w:p w14:paraId="168A68BB" w14:textId="77777777" w:rsidR="00830CF0" w:rsidRPr="009133CE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2B740301" w14:textId="18E8FFE8" w:rsidR="00830CF0" w:rsidRPr="009133CE" w:rsidRDefault="009133CE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Казан, «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Наратлык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паркы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0A7" w14:textId="3FD3D67B" w:rsidR="00830CF0" w:rsidRPr="009133CE" w:rsidRDefault="006E0023" w:rsidP="006E00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территориясендә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яшәүче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халыкларның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милли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спорт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төрләре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халык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</w:t>
            </w:r>
            <w:proofErr w:type="gram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үңел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ачулары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буенча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с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партакиада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(фестиваль)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729" w14:textId="77777777" w:rsidR="006E0023" w:rsidRPr="006E0023" w:rsidRDefault="006E0023" w:rsidP="006E00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Эстафета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өч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этаптан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тора: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сайлап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алу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тө</w:t>
            </w:r>
            <w:proofErr w:type="gram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финал. Алга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таба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сайлап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алу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этабында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җиңүчелә</w:t>
            </w:r>
            <w:proofErr w:type="gram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төп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этапта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очраша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анда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командалар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бер-берсенә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каршы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ярышачак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ә финал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этабында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командалар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Этно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Major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» турниры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җиңүчесе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исеме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өчен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көрәшәчәк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 Милли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гореф-гадәтләрдән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тыш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барлык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ярышлар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үз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эченә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чын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киберпанк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рухын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алып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барачак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Җиңүчеләр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призерлар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оештыручылардан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партнерлардан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бүләкләр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алачак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35C2B4D9" w14:textId="4467D8B4" w:rsidR="00830CF0" w:rsidRPr="006E0023" w:rsidRDefault="006E0023" w:rsidP="006E00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</w:p>
          <w:p w14:paraId="5AB9BE7D" w14:textId="652E8316" w:rsidR="00830CF0" w:rsidRPr="006E0023" w:rsidRDefault="006E0023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val="tt-RU" w:eastAsia="ru-RU"/>
              </w:rPr>
              <w:t>Катнашучылар саны</w:t>
            </w:r>
            <w:r w:rsidR="00830CF0" w:rsidRPr="009133CE"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  <w:t>: 800</w:t>
            </w:r>
            <w:r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val="tt-RU" w:eastAsia="ru-RU"/>
              </w:rPr>
              <w:t xml:space="preserve"> кеше</w:t>
            </w:r>
          </w:p>
        </w:tc>
      </w:tr>
      <w:tr w:rsidR="00830CF0" w:rsidRPr="006E0023" w14:paraId="5B0A3878" w14:textId="77777777" w:rsidTr="009133CE">
        <w:trPr>
          <w:trHeight w:val="82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D88" w14:textId="77777777" w:rsidR="00830CF0" w:rsidRPr="009133CE" w:rsidRDefault="00830CF0" w:rsidP="006A65E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BBD" w14:textId="0C7E15F9" w:rsidR="00830CF0" w:rsidRPr="009133CE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30</w:t>
            </w:r>
            <w:r w:rsidR="009133CE"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август</w:t>
            </w:r>
          </w:p>
          <w:p w14:paraId="2CCAB46C" w14:textId="77777777" w:rsidR="00830CF0" w:rsidRPr="009133CE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B8A34E1" w14:textId="3A97C954" w:rsidR="00830CF0" w:rsidRPr="009133CE" w:rsidRDefault="009133CE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Казан, «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Наратлык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паркы</w:t>
            </w:r>
            <w:proofErr w:type="spellEnd"/>
            <w:r w:rsidRPr="009133C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9D9" w14:textId="422FE82A" w:rsidR="00830CF0" w:rsidRPr="009133CE" w:rsidRDefault="006E0023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халыклары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ашлары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төбәкара</w:t>
            </w:r>
            <w:proofErr w:type="spellEnd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конкурс-фестивале</w:t>
            </w:r>
            <w:proofErr w:type="gramEnd"/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536" w14:textId="015666F3" w:rsidR="00830CF0" w:rsidRDefault="006E0023" w:rsidP="006E0023">
            <w:pPr>
              <w:widowControl w:val="0"/>
              <w:tabs>
                <w:tab w:val="center" w:pos="3802"/>
                <w:tab w:val="left" w:pos="678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ab/>
            </w:r>
          </w:p>
          <w:p w14:paraId="0168EBCD" w14:textId="357593FB" w:rsidR="006E0023" w:rsidRPr="006E0023" w:rsidRDefault="006E0023" w:rsidP="006E0023">
            <w:pPr>
              <w:widowControl w:val="0"/>
              <w:tabs>
                <w:tab w:val="center" w:pos="3802"/>
                <w:tab w:val="left" w:pos="678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Казанда яшәүчеләр «Вилки show»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проекты тәк</w:t>
            </w: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ъдим итк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ән </w:t>
            </w: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кулинария тамашасында Татарстан халыклары ашлары белән гадәти булмаган форматта таныша алачаклар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.</w:t>
            </w:r>
            <w:r w:rsidRPr="006E0023">
              <w:rPr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Биредә </w:t>
            </w: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танылган шәхесләрдән торган командалар һәм Татарстан пешекчеләре шефлары төрле физик мөмкинлекләре чикләнгән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хәлдә </w:t>
            </w: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Татарстан халыклары ашларын әзерләячәкләр</w:t>
            </w:r>
          </w:p>
          <w:p w14:paraId="21EF9135" w14:textId="1A5354C6" w:rsidR="006E0023" w:rsidRDefault="006E0023" w:rsidP="006E0023">
            <w:pPr>
              <w:widowControl w:val="0"/>
              <w:tabs>
                <w:tab w:val="center" w:pos="3802"/>
                <w:tab w:val="left" w:pos="678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(мәсәлән, кулларны бәйләгән хәлдә</w:t>
            </w:r>
            <w:r w:rsidRPr="006E002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).</w:t>
            </w:r>
          </w:p>
          <w:p w14:paraId="7EA26D60" w14:textId="77777777" w:rsidR="006E0023" w:rsidRDefault="006E0023" w:rsidP="006E0023">
            <w:pPr>
              <w:widowControl w:val="0"/>
              <w:tabs>
                <w:tab w:val="center" w:pos="3802"/>
                <w:tab w:val="left" w:pos="678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</w:p>
          <w:p w14:paraId="791E5910" w14:textId="000649E0" w:rsidR="00830CF0" w:rsidRPr="006E0023" w:rsidRDefault="006E0023" w:rsidP="006E002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tt-RU" w:eastAsia="ru-RU"/>
              </w:rPr>
              <w:t>Катнашучылар саны</w:t>
            </w:r>
            <w:r w:rsidR="00830CF0" w:rsidRPr="006E002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tt-RU" w:eastAsia="ru-RU"/>
              </w:rPr>
              <w:t>: 800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tt-RU" w:eastAsia="ru-RU"/>
              </w:rPr>
              <w:t xml:space="preserve"> кеше</w:t>
            </w:r>
          </w:p>
        </w:tc>
      </w:tr>
    </w:tbl>
    <w:p w14:paraId="23E44B15" w14:textId="77777777" w:rsidR="005D0052" w:rsidRPr="006E0023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val="tt-RU" w:eastAsia="ru-RU"/>
        </w:rPr>
      </w:pPr>
    </w:p>
    <w:sectPr w:rsidR="005D0052" w:rsidRPr="006E0023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76A0E"/>
    <w:rsid w:val="000B5AEA"/>
    <w:rsid w:val="000D66A5"/>
    <w:rsid w:val="000E2B78"/>
    <w:rsid w:val="00101288"/>
    <w:rsid w:val="0012405C"/>
    <w:rsid w:val="00131C8D"/>
    <w:rsid w:val="001432C9"/>
    <w:rsid w:val="00152EC4"/>
    <w:rsid w:val="001570AD"/>
    <w:rsid w:val="0016715B"/>
    <w:rsid w:val="00167308"/>
    <w:rsid w:val="00174A3B"/>
    <w:rsid w:val="00183B0D"/>
    <w:rsid w:val="00186ED9"/>
    <w:rsid w:val="001874A9"/>
    <w:rsid w:val="00192D7C"/>
    <w:rsid w:val="001D23C5"/>
    <w:rsid w:val="001D32E4"/>
    <w:rsid w:val="001E36CC"/>
    <w:rsid w:val="00221EA4"/>
    <w:rsid w:val="0023112D"/>
    <w:rsid w:val="00237A3D"/>
    <w:rsid w:val="0026015A"/>
    <w:rsid w:val="00283FFA"/>
    <w:rsid w:val="002A5843"/>
    <w:rsid w:val="002B4A51"/>
    <w:rsid w:val="002C330E"/>
    <w:rsid w:val="002E2327"/>
    <w:rsid w:val="002F5C23"/>
    <w:rsid w:val="003074C5"/>
    <w:rsid w:val="00321309"/>
    <w:rsid w:val="00330636"/>
    <w:rsid w:val="003518E2"/>
    <w:rsid w:val="00354647"/>
    <w:rsid w:val="00382DB6"/>
    <w:rsid w:val="00394AA1"/>
    <w:rsid w:val="003A2FB2"/>
    <w:rsid w:val="003C1D6C"/>
    <w:rsid w:val="003D2EB5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55F7"/>
    <w:rsid w:val="004965C3"/>
    <w:rsid w:val="004A6B07"/>
    <w:rsid w:val="004B4DCA"/>
    <w:rsid w:val="004C71CA"/>
    <w:rsid w:val="005114D1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22BC3"/>
    <w:rsid w:val="0063559C"/>
    <w:rsid w:val="00635759"/>
    <w:rsid w:val="00641166"/>
    <w:rsid w:val="00641CBE"/>
    <w:rsid w:val="00647D37"/>
    <w:rsid w:val="00652A86"/>
    <w:rsid w:val="006805D1"/>
    <w:rsid w:val="006828C9"/>
    <w:rsid w:val="006A65E7"/>
    <w:rsid w:val="006D405A"/>
    <w:rsid w:val="006E0023"/>
    <w:rsid w:val="006E4DB4"/>
    <w:rsid w:val="00721F66"/>
    <w:rsid w:val="007244ED"/>
    <w:rsid w:val="00734CF9"/>
    <w:rsid w:val="00735FD8"/>
    <w:rsid w:val="00736E6E"/>
    <w:rsid w:val="00761E8B"/>
    <w:rsid w:val="00782CAF"/>
    <w:rsid w:val="007868D2"/>
    <w:rsid w:val="00793B61"/>
    <w:rsid w:val="007A7906"/>
    <w:rsid w:val="007C5659"/>
    <w:rsid w:val="007D12E4"/>
    <w:rsid w:val="007F35FC"/>
    <w:rsid w:val="00821063"/>
    <w:rsid w:val="00830CF0"/>
    <w:rsid w:val="00842CA9"/>
    <w:rsid w:val="00851ACE"/>
    <w:rsid w:val="00851E97"/>
    <w:rsid w:val="00866380"/>
    <w:rsid w:val="00874863"/>
    <w:rsid w:val="00886FEC"/>
    <w:rsid w:val="008A613F"/>
    <w:rsid w:val="008B2524"/>
    <w:rsid w:val="008C1594"/>
    <w:rsid w:val="008C2200"/>
    <w:rsid w:val="008C3515"/>
    <w:rsid w:val="008D040C"/>
    <w:rsid w:val="008D62BC"/>
    <w:rsid w:val="009024BB"/>
    <w:rsid w:val="009031D8"/>
    <w:rsid w:val="009133CE"/>
    <w:rsid w:val="00917CF8"/>
    <w:rsid w:val="009615AC"/>
    <w:rsid w:val="0097192F"/>
    <w:rsid w:val="009731A2"/>
    <w:rsid w:val="00974EF4"/>
    <w:rsid w:val="00993BD4"/>
    <w:rsid w:val="0099429D"/>
    <w:rsid w:val="009A06E3"/>
    <w:rsid w:val="009A19AC"/>
    <w:rsid w:val="009B410F"/>
    <w:rsid w:val="009B6C51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375"/>
    <w:rsid w:val="00AE0B62"/>
    <w:rsid w:val="00B031B4"/>
    <w:rsid w:val="00B03F8D"/>
    <w:rsid w:val="00B11E3F"/>
    <w:rsid w:val="00B159DE"/>
    <w:rsid w:val="00B16BEC"/>
    <w:rsid w:val="00B16C30"/>
    <w:rsid w:val="00B20D47"/>
    <w:rsid w:val="00B22042"/>
    <w:rsid w:val="00B355D5"/>
    <w:rsid w:val="00B471DD"/>
    <w:rsid w:val="00B60553"/>
    <w:rsid w:val="00B65477"/>
    <w:rsid w:val="00B900E5"/>
    <w:rsid w:val="00BA73C8"/>
    <w:rsid w:val="00BA7C0A"/>
    <w:rsid w:val="00BB0001"/>
    <w:rsid w:val="00C00DC1"/>
    <w:rsid w:val="00C01C58"/>
    <w:rsid w:val="00C42479"/>
    <w:rsid w:val="00C52808"/>
    <w:rsid w:val="00C76B19"/>
    <w:rsid w:val="00C81170"/>
    <w:rsid w:val="00C9309F"/>
    <w:rsid w:val="00C94CC7"/>
    <w:rsid w:val="00CC3F19"/>
    <w:rsid w:val="00CF2214"/>
    <w:rsid w:val="00CF41C8"/>
    <w:rsid w:val="00D04D8B"/>
    <w:rsid w:val="00D07F47"/>
    <w:rsid w:val="00D1109A"/>
    <w:rsid w:val="00D24C76"/>
    <w:rsid w:val="00D309EA"/>
    <w:rsid w:val="00D52340"/>
    <w:rsid w:val="00D65406"/>
    <w:rsid w:val="00D745EE"/>
    <w:rsid w:val="00D74BAB"/>
    <w:rsid w:val="00D84E1A"/>
    <w:rsid w:val="00D92A32"/>
    <w:rsid w:val="00D9381B"/>
    <w:rsid w:val="00DA0836"/>
    <w:rsid w:val="00DA246C"/>
    <w:rsid w:val="00DA3C9E"/>
    <w:rsid w:val="00DC6A38"/>
    <w:rsid w:val="00DE65E7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426C7"/>
    <w:rsid w:val="00F46DF8"/>
    <w:rsid w:val="00F5326C"/>
    <w:rsid w:val="00F757FC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6318-4F11-4953-A132-DA40FC72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Шайгарданов</cp:lastModifiedBy>
  <cp:revision>2</cp:revision>
  <cp:lastPrinted>2019-04-25T06:21:00Z</cp:lastPrinted>
  <dcterms:created xsi:type="dcterms:W3CDTF">2022-08-29T17:49:00Z</dcterms:created>
  <dcterms:modified xsi:type="dcterms:W3CDTF">2022-08-29T17:49:00Z</dcterms:modified>
</cp:coreProperties>
</file>