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Pr="00100A7B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86"/>
        <w:gridCol w:w="354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305500" w:rsidP="00305500">
            <w:pPr>
              <w:spacing w:before="30" w:after="30"/>
              <w:jc w:val="center"/>
            </w:pPr>
            <w:r>
              <w:t>12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Default="00305500" w:rsidP="00305500">
            <w:pPr>
              <w:spacing w:before="30" w:after="30"/>
              <w:jc w:val="center"/>
            </w:pPr>
            <w:r>
              <w:t>12</w:t>
            </w:r>
          </w:p>
          <w:p w:rsidR="00305500" w:rsidRPr="000C37FF" w:rsidRDefault="00305500" w:rsidP="00305500">
            <w:pPr>
              <w:spacing w:before="30" w:after="30"/>
              <w:jc w:val="center"/>
            </w:pPr>
            <w:r>
              <w:t>(10 – проектов постановлений Кабинета Министров Республики Татарстан, 2 – проекта приказа Министерства по делам молодежи Республики Татарстан)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305500" w:rsidP="00305500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305500" w:rsidP="00305500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305500" w:rsidP="00305500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305500" w:rsidP="00305500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305500" w:rsidP="00305500">
            <w:pPr>
              <w:spacing w:before="30" w:after="30"/>
              <w:jc w:val="center"/>
            </w:pPr>
            <w:r>
              <w:t>0</w:t>
            </w: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C1506" w:rsidRPr="000C37FF" w:rsidRDefault="00EC1506" w:rsidP="004A4390">
            <w:pPr>
              <w:spacing w:before="30" w:after="30"/>
            </w:pP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305500" w:rsidRDefault="00305500" w:rsidP="00305500">
            <w:pPr>
              <w:spacing w:before="30" w:after="30"/>
              <w:jc w:val="center"/>
            </w:pPr>
            <w:r>
              <w:t>12</w:t>
            </w:r>
          </w:p>
          <w:p w:rsidR="000C37FF" w:rsidRPr="000C37FF" w:rsidRDefault="00305500" w:rsidP="00305500">
            <w:pPr>
              <w:spacing w:before="30" w:after="30"/>
              <w:jc w:val="center"/>
            </w:pPr>
            <w:r>
              <w:t>(10 – проектов постановлений Кабинета Министров Республики Татарстан, 2 – проекта приказа Министерства по делам молодежи Республики Татарстан)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lastRenderedPageBreak/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305500" w:rsidP="00305500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305500" w:rsidP="00305500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0C37FF" w:rsidRPr="000C37FF" w:rsidRDefault="000C37FF" w:rsidP="004A4390">
            <w:pPr>
              <w:spacing w:before="30" w:after="30"/>
            </w:pP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0C37FF" w:rsidP="004A4390">
            <w:pPr>
              <w:spacing w:before="30" w:after="30"/>
            </w:pPr>
          </w:p>
        </w:tc>
      </w:tr>
    </w:tbl>
    <w:p w:rsidR="000C37FF" w:rsidRDefault="000C37FF" w:rsidP="000C37FF">
      <w:pPr>
        <w:jc w:val="center"/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ФОРМА № 2</w:t>
      </w: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Pr="00754F43" w:rsidRDefault="003C3C74" w:rsidP="003C3C74">
      <w:pPr>
        <w:jc w:val="right"/>
        <w:outlineLvl w:val="0"/>
        <w:rPr>
          <w:sz w:val="28"/>
          <w:szCs w:val="28"/>
        </w:rPr>
      </w:pPr>
    </w:p>
    <w:p w:rsidR="003C3C74" w:rsidRDefault="003C3C74" w:rsidP="003C3C74">
      <w:pPr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"/>
        <w:gridCol w:w="3143"/>
        <w:gridCol w:w="1389"/>
        <w:gridCol w:w="2081"/>
        <w:gridCol w:w="3469"/>
        <w:gridCol w:w="2912"/>
        <w:gridCol w:w="1663"/>
      </w:tblGrid>
      <w:tr w:rsidR="003C3C74" w:rsidRPr="00C24403" w:rsidTr="00083B11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C74" w:rsidRDefault="003C3C74" w:rsidP="00083B1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</w:p>
          <w:p w:rsidR="003C3C74" w:rsidRPr="00EE2A59" w:rsidRDefault="003C3C74" w:rsidP="00083B1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C74" w:rsidRPr="00C24403" w:rsidRDefault="003C3C74" w:rsidP="00083B1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C74" w:rsidRPr="00C24403" w:rsidRDefault="003C3C74" w:rsidP="00083B1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подготовки заключений</w:t>
            </w:r>
            <w:r w:rsidRPr="00C24403">
              <w:rPr>
                <w:rStyle w:val="FontStyle15"/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C74" w:rsidRPr="00C24403" w:rsidRDefault="003C3C74" w:rsidP="00083B1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 субъекта Российской Федерации</w:t>
            </w:r>
          </w:p>
          <w:p w:rsidR="003C3C74" w:rsidRPr="00C24403" w:rsidRDefault="003C3C74" w:rsidP="00083B1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C74" w:rsidRPr="00C24403" w:rsidRDefault="003C3C74" w:rsidP="00083B1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Коррупциогенные факторы, которые были выявлены в ходе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C74" w:rsidRPr="00C24403" w:rsidRDefault="003C3C74" w:rsidP="00083B1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C74" w:rsidRPr="00C24403" w:rsidRDefault="003C3C74" w:rsidP="00083B1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3C3C74" w:rsidRPr="00B245BB" w:rsidTr="00083B11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C74" w:rsidRPr="00B245BB" w:rsidRDefault="003C3C74" w:rsidP="00083B11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C74" w:rsidRPr="00357582" w:rsidRDefault="003C3C74" w:rsidP="00083B11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C74" w:rsidRPr="00B245BB" w:rsidRDefault="003C3C74" w:rsidP="00083B11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C74" w:rsidRPr="00E335E8" w:rsidRDefault="003C3C74" w:rsidP="00083B11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C74" w:rsidRPr="000852CF" w:rsidRDefault="003C3C74" w:rsidP="00083B11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C74" w:rsidRPr="00B245BB" w:rsidRDefault="003C3C74" w:rsidP="00083B11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C74" w:rsidRPr="00BD1D9F" w:rsidRDefault="003C3C74" w:rsidP="00083B11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C3C74" w:rsidRDefault="003C3C74" w:rsidP="003C3C74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3C3C74" w:rsidRDefault="003C3C74" w:rsidP="003C3C74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3C3C74" w:rsidRDefault="003C3C74" w:rsidP="003C3C74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3C3C74" w:rsidRPr="00742F23" w:rsidRDefault="003C3C74" w:rsidP="003C3C74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3C3C74" w:rsidRPr="00094E90" w:rsidRDefault="003C3C74" w:rsidP="003C3C74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</w:p>
    <w:p w:rsidR="003C3C74" w:rsidRPr="00094E90" w:rsidRDefault="003C3C74" w:rsidP="003C3C74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r w:rsidRPr="00094E90">
        <w:rPr>
          <w:rStyle w:val="FontStyle14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>
        <w:rPr>
          <w:rStyle w:val="FontStyle15"/>
        </w:rPr>
        <w:t xml:space="preserve"> </w:t>
      </w:r>
      <w:r w:rsidRPr="00094E90">
        <w:rPr>
          <w:rStyle w:val="FontStyle14"/>
        </w:rPr>
        <w:t>96</w:t>
      </w:r>
    </w:p>
    <w:p w:rsidR="003C3C74" w:rsidRPr="00094E90" w:rsidRDefault="003C3C74" w:rsidP="003C3C74">
      <w:r w:rsidRPr="00094E90">
        <w:rPr>
          <w:rStyle w:val="FontStyle14"/>
          <w:vertAlign w:val="superscript"/>
        </w:rPr>
        <w:t>3</w:t>
      </w:r>
      <w:r>
        <w:rPr>
          <w:rStyle w:val="FontStyle14"/>
          <w:vertAlign w:val="superscript"/>
        </w:rPr>
        <w:t xml:space="preserve"> </w:t>
      </w:r>
      <w:r w:rsidRPr="00094E90">
        <w:rPr>
          <w:rStyle w:val="FontStyle14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3C3C74" w:rsidRDefault="003C3C74" w:rsidP="003C3C74"/>
    <w:p w:rsidR="003C3C74" w:rsidRDefault="003C3C74" w:rsidP="000C37FF">
      <w:pPr>
        <w:jc w:val="center"/>
      </w:pPr>
    </w:p>
    <w:sectPr w:rsidR="003C3C74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8D" w:rsidRDefault="00502F8D">
      <w:r>
        <w:separator/>
      </w:r>
    </w:p>
  </w:endnote>
  <w:endnote w:type="continuationSeparator" w:id="0">
    <w:p w:rsidR="00502F8D" w:rsidRDefault="0050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8D" w:rsidRDefault="00502F8D">
      <w:r>
        <w:separator/>
      </w:r>
    </w:p>
  </w:footnote>
  <w:footnote w:type="continuationSeparator" w:id="0">
    <w:p w:rsidR="00502F8D" w:rsidRDefault="00502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3C74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7D"/>
    <w:rsid w:val="000C37FF"/>
    <w:rsid w:val="00305500"/>
    <w:rsid w:val="003C3C74"/>
    <w:rsid w:val="004A4390"/>
    <w:rsid w:val="004F2AE7"/>
    <w:rsid w:val="00502F8D"/>
    <w:rsid w:val="005121C8"/>
    <w:rsid w:val="00AF7FE8"/>
    <w:rsid w:val="00B40853"/>
    <w:rsid w:val="00B421AF"/>
    <w:rsid w:val="00CE4F53"/>
    <w:rsid w:val="00E3038E"/>
    <w:rsid w:val="00EC1506"/>
    <w:rsid w:val="00F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45725A"/>
  <w15:docId w15:val="{CFC44BEB-4736-4DA7-B527-CADA2D0B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  <w:style w:type="paragraph" w:customStyle="1" w:styleId="Style2">
    <w:name w:val="Style2"/>
    <w:basedOn w:val="a"/>
    <w:uiPriority w:val="99"/>
    <w:rsid w:val="003C3C74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3C3C74"/>
    <w:pPr>
      <w:widowControl w:val="0"/>
      <w:autoSpaceDE w:val="0"/>
      <w:autoSpaceDN w:val="0"/>
      <w:adjustRightInd w:val="0"/>
      <w:spacing w:line="256" w:lineRule="exact"/>
    </w:pPr>
  </w:style>
  <w:style w:type="paragraph" w:customStyle="1" w:styleId="Style4">
    <w:name w:val="Style4"/>
    <w:basedOn w:val="a"/>
    <w:uiPriority w:val="99"/>
    <w:rsid w:val="003C3C74"/>
    <w:pPr>
      <w:widowControl w:val="0"/>
      <w:autoSpaceDE w:val="0"/>
      <w:autoSpaceDN w:val="0"/>
      <w:adjustRightInd w:val="0"/>
      <w:spacing w:line="223" w:lineRule="exact"/>
      <w:ind w:firstLine="701"/>
    </w:pPr>
  </w:style>
  <w:style w:type="character" w:customStyle="1" w:styleId="FontStyle14">
    <w:name w:val="Font Style14"/>
    <w:basedOn w:val="a0"/>
    <w:uiPriority w:val="99"/>
    <w:rsid w:val="003C3C74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3C3C7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Кадровик</cp:lastModifiedBy>
  <cp:revision>2</cp:revision>
  <dcterms:created xsi:type="dcterms:W3CDTF">2025-01-22T08:50:00Z</dcterms:created>
  <dcterms:modified xsi:type="dcterms:W3CDTF">2025-01-22T08:50:00Z</dcterms:modified>
</cp:coreProperties>
</file>