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6"/>
        <w:gridCol w:w="354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A370FD" w:rsidP="00A370FD">
            <w:pPr>
              <w:spacing w:before="30" w:after="30"/>
              <w:jc w:val="center"/>
            </w:pPr>
            <w:r>
              <w:t>13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Default="00A370FD" w:rsidP="00A370FD">
            <w:pPr>
              <w:spacing w:before="30" w:after="30"/>
              <w:jc w:val="center"/>
            </w:pPr>
            <w:r>
              <w:t>13</w:t>
            </w:r>
          </w:p>
          <w:p w:rsidR="00A370FD" w:rsidRPr="000C37FF" w:rsidRDefault="00A370FD" w:rsidP="00A370FD">
            <w:pPr>
              <w:spacing w:before="30" w:after="30"/>
              <w:jc w:val="center"/>
            </w:pPr>
            <w:r>
              <w:t>(10 – проектов постановлений Кабинета Министров Республики Татарстан,</w:t>
            </w:r>
            <w:r>
              <w:br/>
              <w:t>2 – проекта приказа Министерства по делам молодежи Республики Татарстан, 1 – проект Указа Раиса Республики Татарстан)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A370FD" w:rsidP="00A370FD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A370FD" w:rsidP="00A370FD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A370FD" w:rsidP="00A370FD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EC1506" w:rsidP="004A4390">
            <w:pPr>
              <w:spacing w:before="30" w:after="30"/>
            </w:pP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A370FD" w:rsidRDefault="00A370FD" w:rsidP="00A370FD">
            <w:pPr>
              <w:spacing w:before="30" w:after="30"/>
              <w:jc w:val="center"/>
            </w:pPr>
            <w:r>
              <w:t>13</w:t>
            </w:r>
          </w:p>
          <w:p w:rsidR="000C37FF" w:rsidRPr="000C37FF" w:rsidRDefault="00A370FD" w:rsidP="00A370FD">
            <w:pPr>
              <w:spacing w:before="30" w:after="30"/>
              <w:jc w:val="center"/>
            </w:pPr>
            <w:r>
              <w:t>(10 – проектов постановлений Кабинета Министров Республики Татарстан,</w:t>
            </w:r>
            <w:r>
              <w:br/>
              <w:t xml:space="preserve">2 – проекта приказа Министерства по делам </w:t>
            </w:r>
            <w:r>
              <w:lastRenderedPageBreak/>
              <w:t>молодежи Республики Татарстан, 1 – проект Указа Раиса Республики Татарстан)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A370FD" w:rsidP="00A370FD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A370FD" w:rsidP="00A370FD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</w:tbl>
    <w:p w:rsidR="000C37FF" w:rsidRDefault="000C37FF" w:rsidP="000C37FF">
      <w:pPr>
        <w:jc w:val="center"/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P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0B6603">
        <w:rPr>
          <w:sz w:val="28"/>
          <w:szCs w:val="28"/>
        </w:rPr>
        <w:lastRenderedPageBreak/>
        <w:t>ФОРМА № 2</w:t>
      </w:r>
    </w:p>
    <w:p w:rsidR="000B6603" w:rsidRP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P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Pr="000B6603" w:rsidRDefault="000B6603" w:rsidP="000B660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6603" w:rsidRPr="000B6603" w:rsidRDefault="000B6603" w:rsidP="000B66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3143"/>
        <w:gridCol w:w="1389"/>
        <w:gridCol w:w="2081"/>
        <w:gridCol w:w="3469"/>
        <w:gridCol w:w="2912"/>
        <w:gridCol w:w="1663"/>
      </w:tblGrid>
      <w:tr w:rsidR="000B6603" w:rsidRPr="000B6603" w:rsidTr="00BF512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603">
              <w:rPr>
                <w:sz w:val="20"/>
                <w:szCs w:val="20"/>
              </w:rPr>
              <w:t>№</w:t>
            </w:r>
          </w:p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603">
              <w:rPr>
                <w:sz w:val="20"/>
                <w:szCs w:val="20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603">
              <w:rPr>
                <w:sz w:val="20"/>
                <w:szCs w:val="20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603">
              <w:rPr>
                <w:sz w:val="20"/>
                <w:szCs w:val="20"/>
              </w:rPr>
              <w:t>Дата подготовки заключений</w:t>
            </w:r>
            <w:r w:rsidRPr="000B660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603">
              <w:rPr>
                <w:sz w:val="20"/>
                <w:szCs w:val="20"/>
              </w:rPr>
              <w:t>Наименование НПА или проекта НПА субъекта Российской Федерации</w:t>
            </w:r>
          </w:p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B6603">
              <w:rPr>
                <w:sz w:val="20"/>
                <w:szCs w:val="20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0B660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B6603">
              <w:rPr>
                <w:sz w:val="20"/>
                <w:szCs w:val="20"/>
              </w:rPr>
              <w:t>Результаты рассмотрения заключения независимой антикоррупционной экспертизы</w:t>
            </w:r>
            <w:r w:rsidRPr="000B660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603">
              <w:rPr>
                <w:sz w:val="20"/>
                <w:szCs w:val="20"/>
              </w:rPr>
              <w:t>Исходящий номер и дата ответа, направленного независимому эксперту</w:t>
            </w:r>
          </w:p>
        </w:tc>
      </w:tr>
      <w:tr w:rsidR="000B6603" w:rsidRPr="000B6603" w:rsidTr="00BF512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603">
              <w:rPr>
                <w:sz w:val="28"/>
                <w:szCs w:val="28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6603">
              <w:rPr>
                <w:sz w:val="28"/>
                <w:szCs w:val="28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03" w:rsidRPr="000B6603" w:rsidRDefault="000B6603" w:rsidP="000B66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B6603" w:rsidRPr="000B6603" w:rsidRDefault="000B6603" w:rsidP="000B66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6603" w:rsidRPr="000B6603" w:rsidRDefault="000B6603" w:rsidP="000B66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6603" w:rsidRPr="000B6603" w:rsidRDefault="000B6603" w:rsidP="000B66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6603" w:rsidRPr="000B6603" w:rsidRDefault="000B6603" w:rsidP="000B66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6603" w:rsidRPr="000B6603" w:rsidRDefault="000B6603" w:rsidP="000B66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B6603">
        <w:rPr>
          <w:sz w:val="18"/>
          <w:szCs w:val="18"/>
          <w:vertAlign w:val="superscript"/>
        </w:rPr>
        <w:t>1</w:t>
      </w:r>
      <w:r w:rsidRPr="000B6603">
        <w:rPr>
          <w:sz w:val="18"/>
          <w:szCs w:val="18"/>
        </w:rPr>
        <w:t xml:space="preserve"> Копия заключения обязательно должна прилагаться к данной таблице.</w:t>
      </w:r>
    </w:p>
    <w:p w:rsidR="000B6603" w:rsidRPr="000B6603" w:rsidRDefault="000B6603" w:rsidP="000B66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B6603">
        <w:rPr>
          <w:sz w:val="18"/>
          <w:szCs w:val="18"/>
          <w:vertAlign w:val="superscript"/>
        </w:rPr>
        <w:t xml:space="preserve">2 </w:t>
      </w:r>
      <w:r w:rsidRPr="000B6603">
        <w:rPr>
          <w:sz w:val="18"/>
          <w:szCs w:val="18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B6603">
          <w:rPr>
            <w:sz w:val="18"/>
            <w:szCs w:val="18"/>
          </w:rPr>
          <w:t xml:space="preserve">2010 </w:t>
        </w:r>
        <w:r w:rsidRPr="000B6603">
          <w:rPr>
            <w:sz w:val="20"/>
            <w:szCs w:val="20"/>
          </w:rPr>
          <w:t>г</w:t>
        </w:r>
      </w:smartTag>
      <w:r w:rsidRPr="000B6603">
        <w:rPr>
          <w:sz w:val="20"/>
          <w:szCs w:val="20"/>
        </w:rPr>
        <w:t xml:space="preserve">. № </w:t>
      </w:r>
      <w:r w:rsidRPr="000B6603">
        <w:rPr>
          <w:sz w:val="18"/>
          <w:szCs w:val="18"/>
        </w:rPr>
        <w:t>96</w:t>
      </w:r>
    </w:p>
    <w:p w:rsidR="000B6603" w:rsidRPr="000B6603" w:rsidRDefault="000B6603" w:rsidP="000B6603">
      <w:pPr>
        <w:widowControl w:val="0"/>
        <w:autoSpaceDE w:val="0"/>
        <w:autoSpaceDN w:val="0"/>
        <w:adjustRightInd w:val="0"/>
      </w:pPr>
      <w:r w:rsidRPr="000B6603">
        <w:rPr>
          <w:sz w:val="18"/>
          <w:szCs w:val="18"/>
          <w:vertAlign w:val="superscript"/>
        </w:rPr>
        <w:t xml:space="preserve">3 </w:t>
      </w:r>
      <w:r w:rsidRPr="000B6603">
        <w:rPr>
          <w:sz w:val="18"/>
          <w:szCs w:val="18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0B6603" w:rsidRPr="000B6603" w:rsidRDefault="000B6603" w:rsidP="000B6603">
      <w:pPr>
        <w:widowControl w:val="0"/>
        <w:autoSpaceDE w:val="0"/>
        <w:autoSpaceDN w:val="0"/>
        <w:adjustRightInd w:val="0"/>
      </w:pPr>
    </w:p>
    <w:p w:rsidR="000B6603" w:rsidRDefault="000B6603" w:rsidP="000C37FF">
      <w:pPr>
        <w:jc w:val="center"/>
      </w:pPr>
    </w:p>
    <w:sectPr w:rsidR="000B6603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0B" w:rsidRDefault="00322F0B">
      <w:r>
        <w:separator/>
      </w:r>
    </w:p>
  </w:endnote>
  <w:endnote w:type="continuationSeparator" w:id="0">
    <w:p w:rsidR="00322F0B" w:rsidRDefault="0032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0B" w:rsidRDefault="00322F0B">
      <w:r>
        <w:separator/>
      </w:r>
    </w:p>
  </w:footnote>
  <w:footnote w:type="continuationSeparator" w:id="0">
    <w:p w:rsidR="00322F0B" w:rsidRDefault="0032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6603">
      <w:rPr>
        <w:rStyle w:val="a5"/>
        <w:noProof/>
      </w:rPr>
      <w:t>3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7D"/>
    <w:rsid w:val="000B6603"/>
    <w:rsid w:val="000C37FF"/>
    <w:rsid w:val="00322F0B"/>
    <w:rsid w:val="004A4390"/>
    <w:rsid w:val="004F2AE7"/>
    <w:rsid w:val="005121C8"/>
    <w:rsid w:val="005E06FC"/>
    <w:rsid w:val="00A370FD"/>
    <w:rsid w:val="00B40853"/>
    <w:rsid w:val="00B421AF"/>
    <w:rsid w:val="00CE4F53"/>
    <w:rsid w:val="00E3038E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3C9157"/>
  <w15:docId w15:val="{DFB68651-5879-431D-BA12-925EFB22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Кадровик</cp:lastModifiedBy>
  <cp:revision>2</cp:revision>
  <dcterms:created xsi:type="dcterms:W3CDTF">2025-04-11T14:29:00Z</dcterms:created>
  <dcterms:modified xsi:type="dcterms:W3CDTF">2025-04-11T14:29:00Z</dcterms:modified>
</cp:coreProperties>
</file>