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D6C" w:rsidRDefault="00782175">
      <w:pPr>
        <w:pStyle w:val="a3"/>
        <w:spacing w:before="1" w:line="322" w:lineRule="exact"/>
        <w:ind w:left="157" w:right="159" w:firstLine="0"/>
        <w:jc w:val="center"/>
      </w:pPr>
      <w:r>
        <w:rPr>
          <w:spacing w:val="-2"/>
        </w:rPr>
        <w:t>ДОКЛАД</w:t>
      </w:r>
    </w:p>
    <w:p w:rsidR="00827D6C" w:rsidRDefault="00782175">
      <w:pPr>
        <w:pStyle w:val="a3"/>
        <w:ind w:left="152" w:right="159" w:firstLine="0"/>
        <w:jc w:val="center"/>
      </w:pPr>
      <w:r>
        <w:t>об</w:t>
      </w:r>
      <w:r>
        <w:rPr>
          <w:spacing w:val="-9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внутреннего</w:t>
      </w:r>
      <w:r>
        <w:rPr>
          <w:spacing w:val="-6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соответствия</w:t>
      </w:r>
      <w:r>
        <w:rPr>
          <w:spacing w:val="-7"/>
        </w:rPr>
        <w:t xml:space="preserve"> </w:t>
      </w:r>
      <w:r>
        <w:t>требованиям антимонопольного законодательства в Министерстве по делам молод</w:t>
      </w:r>
      <w:r w:rsidR="008B1281">
        <w:t>ежи Республики Татарстан за 2025</w:t>
      </w:r>
      <w:r>
        <w:t xml:space="preserve"> год</w:t>
      </w:r>
    </w:p>
    <w:p w:rsidR="00827D6C" w:rsidRPr="00CA5DCE" w:rsidRDefault="00782175">
      <w:pPr>
        <w:pStyle w:val="a3"/>
        <w:spacing w:before="320"/>
        <w:ind w:right="136"/>
      </w:pPr>
      <w:r w:rsidRPr="00CA5DCE">
        <w:t>Во</w:t>
      </w:r>
      <w:r w:rsidRPr="00CA5DCE">
        <w:rPr>
          <w:spacing w:val="40"/>
        </w:rPr>
        <w:t xml:space="preserve"> </w:t>
      </w:r>
      <w:r w:rsidRPr="00CA5DCE">
        <w:t>исполнение</w:t>
      </w:r>
      <w:r w:rsidRPr="00CA5DCE">
        <w:rPr>
          <w:spacing w:val="40"/>
        </w:rPr>
        <w:t xml:space="preserve"> </w:t>
      </w:r>
      <w:r w:rsidRPr="00CA5DCE">
        <w:t>Указа</w:t>
      </w:r>
      <w:r w:rsidRPr="00CA5DCE">
        <w:rPr>
          <w:spacing w:val="40"/>
        </w:rPr>
        <w:t xml:space="preserve"> </w:t>
      </w:r>
      <w:r w:rsidRPr="00CA5DCE">
        <w:t>Президента</w:t>
      </w:r>
      <w:r w:rsidRPr="00CA5DCE">
        <w:rPr>
          <w:spacing w:val="40"/>
        </w:rPr>
        <w:t xml:space="preserve"> </w:t>
      </w:r>
      <w:r w:rsidRPr="00CA5DCE">
        <w:t>Российской</w:t>
      </w:r>
      <w:r w:rsidRPr="00CA5DCE">
        <w:rPr>
          <w:spacing w:val="40"/>
        </w:rPr>
        <w:t xml:space="preserve"> </w:t>
      </w:r>
      <w:r w:rsidRPr="00CA5DCE">
        <w:t>Федерации</w:t>
      </w:r>
      <w:r w:rsidRPr="00CA5DCE">
        <w:rPr>
          <w:spacing w:val="40"/>
        </w:rPr>
        <w:t xml:space="preserve"> </w:t>
      </w:r>
      <w:r w:rsidRPr="00CA5DCE">
        <w:t>от</w:t>
      </w:r>
      <w:r w:rsidRPr="00CA5DCE">
        <w:rPr>
          <w:spacing w:val="40"/>
        </w:rPr>
        <w:t xml:space="preserve"> </w:t>
      </w:r>
      <w:r w:rsidRPr="00CA5DCE">
        <w:t>21</w:t>
      </w:r>
      <w:r w:rsidRPr="00CA5DCE">
        <w:rPr>
          <w:spacing w:val="40"/>
        </w:rPr>
        <w:t xml:space="preserve"> </w:t>
      </w:r>
      <w:r w:rsidRPr="00CA5DCE">
        <w:t>декабря</w:t>
      </w:r>
      <w:r w:rsidRPr="00CA5DCE">
        <w:rPr>
          <w:spacing w:val="40"/>
        </w:rPr>
        <w:t xml:space="preserve"> </w:t>
      </w:r>
      <w:r w:rsidRPr="00CA5DCE">
        <w:t>2017</w:t>
      </w:r>
      <w:r w:rsidRPr="00CA5DCE">
        <w:rPr>
          <w:spacing w:val="40"/>
        </w:rPr>
        <w:t xml:space="preserve"> </w:t>
      </w:r>
      <w:r w:rsidRPr="00CA5DCE">
        <w:t>года</w:t>
      </w:r>
      <w:r w:rsidRPr="00CA5DCE">
        <w:rPr>
          <w:spacing w:val="40"/>
        </w:rPr>
        <w:t xml:space="preserve"> </w:t>
      </w:r>
      <w:r w:rsidRPr="00CA5DCE">
        <w:t>№</w:t>
      </w:r>
      <w:r w:rsidRPr="00CA5DCE">
        <w:rPr>
          <w:spacing w:val="40"/>
        </w:rPr>
        <w:t xml:space="preserve">  </w:t>
      </w:r>
      <w:r w:rsidRPr="00CA5DCE">
        <w:t>618</w:t>
      </w:r>
      <w:r w:rsidRPr="00CA5DCE">
        <w:rPr>
          <w:spacing w:val="40"/>
        </w:rPr>
        <w:t xml:space="preserve"> </w:t>
      </w:r>
      <w:r w:rsidRPr="00CA5DCE">
        <w:t>«Об</w:t>
      </w:r>
      <w:r w:rsidRPr="00CA5DCE">
        <w:rPr>
          <w:spacing w:val="40"/>
        </w:rPr>
        <w:t xml:space="preserve"> </w:t>
      </w:r>
      <w:r w:rsidRPr="00CA5DCE">
        <w:t>основных</w:t>
      </w:r>
      <w:r w:rsidRPr="00CA5DCE">
        <w:rPr>
          <w:spacing w:val="40"/>
        </w:rPr>
        <w:t xml:space="preserve"> </w:t>
      </w:r>
      <w:r w:rsidRPr="00CA5DCE">
        <w:t>направлениях</w:t>
      </w:r>
      <w:r w:rsidRPr="00CA5DCE">
        <w:rPr>
          <w:spacing w:val="40"/>
        </w:rPr>
        <w:t xml:space="preserve"> </w:t>
      </w:r>
      <w:r w:rsidRPr="00CA5DCE">
        <w:t>государственной</w:t>
      </w:r>
      <w:r w:rsidRPr="00CA5DCE">
        <w:rPr>
          <w:spacing w:val="40"/>
        </w:rPr>
        <w:t xml:space="preserve">  </w:t>
      </w:r>
      <w:r w:rsidRPr="00CA5DCE">
        <w:t>политики по развитию конкуренции» и в соответствии с приказом М</w:t>
      </w:r>
      <w:bookmarkStart w:id="0" w:name="_GoBack"/>
      <w:bookmarkEnd w:id="0"/>
      <w:r w:rsidRPr="00CA5DCE">
        <w:t>инистерства по делам молодежи Республики Татарстан от 27.02.2019 № 50 «Об организации системы внутреннего обеспечения соответствия требованиям антимонопольного законодательства</w:t>
      </w:r>
      <w:r w:rsidRPr="00CA5DCE">
        <w:rPr>
          <w:spacing w:val="79"/>
          <w:w w:val="150"/>
        </w:rPr>
        <w:t xml:space="preserve"> </w:t>
      </w:r>
      <w:r w:rsidRPr="00CA5DCE">
        <w:t>в</w:t>
      </w:r>
      <w:r w:rsidRPr="00CA5DCE">
        <w:rPr>
          <w:spacing w:val="80"/>
        </w:rPr>
        <w:t xml:space="preserve"> </w:t>
      </w:r>
      <w:r w:rsidRPr="00CA5DCE">
        <w:t>Министерстве</w:t>
      </w:r>
      <w:r w:rsidRPr="00CA5DCE">
        <w:rPr>
          <w:spacing w:val="78"/>
          <w:w w:val="150"/>
        </w:rPr>
        <w:t xml:space="preserve"> </w:t>
      </w:r>
      <w:r w:rsidRPr="00CA5DCE">
        <w:t>по</w:t>
      </w:r>
      <w:r w:rsidRPr="00CA5DCE">
        <w:rPr>
          <w:spacing w:val="80"/>
        </w:rPr>
        <w:t xml:space="preserve"> </w:t>
      </w:r>
      <w:r w:rsidRPr="00CA5DCE">
        <w:t>делам</w:t>
      </w:r>
      <w:r w:rsidRPr="00CA5DCE">
        <w:rPr>
          <w:spacing w:val="80"/>
          <w:w w:val="150"/>
        </w:rPr>
        <w:t xml:space="preserve"> </w:t>
      </w:r>
      <w:r w:rsidRPr="00CA5DCE">
        <w:t>молодежи</w:t>
      </w:r>
      <w:r w:rsidRPr="00CA5DCE">
        <w:rPr>
          <w:spacing w:val="80"/>
        </w:rPr>
        <w:t xml:space="preserve"> </w:t>
      </w:r>
      <w:r w:rsidRPr="00CA5DCE">
        <w:t>Республики</w:t>
      </w:r>
      <w:r w:rsidRPr="00CA5DCE">
        <w:rPr>
          <w:spacing w:val="80"/>
          <w:w w:val="150"/>
        </w:rPr>
        <w:t xml:space="preserve"> </w:t>
      </w:r>
      <w:r w:rsidRPr="00CA5DCE">
        <w:t>Татарстан» в Министерстве по делам молодежи Республики Татарстан (далее – Министерство) создана система внутреннего обеспечения соответствия требованиям антимонопольного законодательства (далее – антимонопольный комплаенс).</w:t>
      </w:r>
    </w:p>
    <w:p w:rsidR="00827D6C" w:rsidRPr="00CA5DCE" w:rsidRDefault="00782175">
      <w:pPr>
        <w:pStyle w:val="a3"/>
        <w:spacing w:before="2"/>
        <w:ind w:right="141"/>
      </w:pPr>
      <w:proofErr w:type="gramStart"/>
      <w:r w:rsidRPr="00CA5DCE">
        <w:t>Приказом</w:t>
      </w:r>
      <w:r w:rsidRPr="00CA5DCE">
        <w:rPr>
          <w:spacing w:val="40"/>
        </w:rPr>
        <w:t xml:space="preserve">  </w:t>
      </w:r>
      <w:r w:rsidRPr="00CA5DCE">
        <w:t>Министерства</w:t>
      </w:r>
      <w:proofErr w:type="gramEnd"/>
      <w:r w:rsidR="00D4648C" w:rsidRPr="00CA5DCE">
        <w:rPr>
          <w:spacing w:val="40"/>
        </w:rPr>
        <w:t xml:space="preserve"> </w:t>
      </w:r>
      <w:r w:rsidRPr="00CA5DCE">
        <w:t>от</w:t>
      </w:r>
      <w:r w:rsidR="00D4648C" w:rsidRPr="00CA5DCE">
        <w:rPr>
          <w:spacing w:val="40"/>
        </w:rPr>
        <w:t xml:space="preserve"> </w:t>
      </w:r>
      <w:r w:rsidRPr="00CA5DCE">
        <w:t>27.02.2019</w:t>
      </w:r>
      <w:r w:rsidRPr="00CA5DCE">
        <w:rPr>
          <w:spacing w:val="40"/>
        </w:rPr>
        <w:t xml:space="preserve"> </w:t>
      </w:r>
      <w:r w:rsidRPr="00CA5DCE">
        <w:t>№</w:t>
      </w:r>
      <w:r w:rsidR="00D4648C" w:rsidRPr="00CA5DCE">
        <w:rPr>
          <w:spacing w:val="40"/>
        </w:rPr>
        <w:t xml:space="preserve"> </w:t>
      </w:r>
      <w:r w:rsidRPr="00CA5DCE">
        <w:t>50</w:t>
      </w:r>
      <w:r w:rsidR="00D4648C" w:rsidRPr="00CA5DCE">
        <w:rPr>
          <w:spacing w:val="40"/>
        </w:rPr>
        <w:t xml:space="preserve"> </w:t>
      </w:r>
      <w:r w:rsidRPr="00CA5DCE">
        <w:t>утверждено</w:t>
      </w:r>
      <w:r w:rsidRPr="00CA5DCE">
        <w:rPr>
          <w:spacing w:val="40"/>
        </w:rPr>
        <w:t xml:space="preserve"> </w:t>
      </w:r>
      <w:r w:rsidRPr="00CA5DCE">
        <w:t>Положение об организации системы внутреннего обеспечения соответствия требованиям антимонопольного законодательства в Министерстве.</w:t>
      </w:r>
    </w:p>
    <w:p w:rsidR="008D62BB" w:rsidRPr="00CA5DCE" w:rsidRDefault="008D62BB">
      <w:pPr>
        <w:pStyle w:val="a3"/>
        <w:ind w:right="139"/>
      </w:pPr>
      <w:r w:rsidRPr="00CA5DCE">
        <w:t>С целью оценки эффективности антимонопольного комплаенса коллегиальным органом в Министерстве определен Общественный совет по осуществлению оценки эффективности организации и функционирования системы внутреннего обеспечения соответствия требованиям антимонопольного законодательства.</w:t>
      </w:r>
    </w:p>
    <w:p w:rsidR="00827D6C" w:rsidRPr="00CA5DCE" w:rsidRDefault="00782175">
      <w:pPr>
        <w:pStyle w:val="a3"/>
        <w:ind w:right="136"/>
      </w:pPr>
      <w:r w:rsidRPr="00CA5DCE">
        <w:t>Общий контроль за организацией и функционированием в Министерстве антимонопольного комплаенса осуществляется министром по делам молодежи Республики Татарстан.</w:t>
      </w:r>
    </w:p>
    <w:p w:rsidR="008D62BB" w:rsidRPr="00CA5DCE" w:rsidRDefault="008D62BB">
      <w:pPr>
        <w:pStyle w:val="a3"/>
        <w:ind w:right="140"/>
      </w:pPr>
      <w:r w:rsidRPr="00CA5DCE">
        <w:t>Функции по обеспечению функционирования антимонопольного комплаенса возложены на отдел бухгалтерского учета и государственного заказа и отдел государственной службы, кадровой и юридической работы.</w:t>
      </w:r>
    </w:p>
    <w:p w:rsidR="00827D6C" w:rsidRPr="00CA5DCE" w:rsidRDefault="00782175">
      <w:pPr>
        <w:pStyle w:val="a3"/>
        <w:ind w:right="150"/>
      </w:pPr>
      <w:r w:rsidRPr="00CA5DCE">
        <w:t>В целях выявления и оценки рисков нарушения антимонопольного законодательства в Министерстве проведены следующие мероприятия:</w:t>
      </w:r>
    </w:p>
    <w:p w:rsidR="00827D6C" w:rsidRPr="00CA5DCE" w:rsidRDefault="00782175">
      <w:pPr>
        <w:pStyle w:val="a4"/>
        <w:numPr>
          <w:ilvl w:val="0"/>
          <w:numId w:val="2"/>
        </w:numPr>
        <w:tabs>
          <w:tab w:val="left" w:pos="1330"/>
        </w:tabs>
        <w:spacing w:line="242" w:lineRule="auto"/>
        <w:ind w:right="144" w:firstLine="708"/>
        <w:jc w:val="both"/>
        <w:rPr>
          <w:i/>
          <w:sz w:val="28"/>
        </w:rPr>
      </w:pPr>
      <w:proofErr w:type="gramStart"/>
      <w:r w:rsidRPr="00CA5DCE">
        <w:rPr>
          <w:i/>
          <w:sz w:val="28"/>
        </w:rPr>
        <w:t>анализ</w:t>
      </w:r>
      <w:r w:rsidRPr="00CA5DCE">
        <w:rPr>
          <w:i/>
          <w:spacing w:val="40"/>
          <w:sz w:val="28"/>
        </w:rPr>
        <w:t xml:space="preserve">  </w:t>
      </w:r>
      <w:r w:rsidRPr="00CA5DCE">
        <w:rPr>
          <w:i/>
          <w:sz w:val="28"/>
        </w:rPr>
        <w:t>выявленных</w:t>
      </w:r>
      <w:proofErr w:type="gramEnd"/>
      <w:r w:rsidRPr="00CA5DCE">
        <w:rPr>
          <w:i/>
          <w:spacing w:val="40"/>
          <w:sz w:val="28"/>
        </w:rPr>
        <w:t xml:space="preserve">  </w:t>
      </w:r>
      <w:r w:rsidRPr="00CA5DCE">
        <w:rPr>
          <w:i/>
          <w:sz w:val="28"/>
        </w:rPr>
        <w:t>нарушений</w:t>
      </w:r>
      <w:r w:rsidRPr="00CA5DCE">
        <w:rPr>
          <w:i/>
          <w:spacing w:val="40"/>
          <w:sz w:val="28"/>
        </w:rPr>
        <w:t xml:space="preserve">  </w:t>
      </w:r>
      <w:r w:rsidRPr="00CA5DCE">
        <w:rPr>
          <w:i/>
          <w:sz w:val="28"/>
        </w:rPr>
        <w:t>антимонопольного</w:t>
      </w:r>
      <w:r w:rsidRPr="00CA5DCE">
        <w:rPr>
          <w:i/>
          <w:spacing w:val="40"/>
          <w:sz w:val="28"/>
        </w:rPr>
        <w:t xml:space="preserve">  </w:t>
      </w:r>
      <w:r w:rsidRPr="00CA5DCE">
        <w:rPr>
          <w:i/>
          <w:sz w:val="28"/>
        </w:rPr>
        <w:t>законодательства в д</w:t>
      </w:r>
      <w:r w:rsidR="00D4648C" w:rsidRPr="00CA5DCE">
        <w:rPr>
          <w:i/>
          <w:sz w:val="28"/>
        </w:rPr>
        <w:t>еятельности Министерства за 2025</w:t>
      </w:r>
      <w:r w:rsidRPr="00CA5DCE">
        <w:rPr>
          <w:i/>
          <w:sz w:val="28"/>
        </w:rPr>
        <w:t xml:space="preserve"> год.</w:t>
      </w:r>
    </w:p>
    <w:p w:rsidR="00827D6C" w:rsidRPr="00CA5DCE" w:rsidRDefault="00782175">
      <w:pPr>
        <w:pStyle w:val="a3"/>
        <w:spacing w:line="317" w:lineRule="exact"/>
        <w:ind w:left="849" w:firstLine="0"/>
      </w:pPr>
      <w:r w:rsidRPr="00CA5DCE">
        <w:t>По</w:t>
      </w:r>
      <w:r w:rsidRPr="00CA5DCE">
        <w:rPr>
          <w:spacing w:val="-9"/>
        </w:rPr>
        <w:t xml:space="preserve"> </w:t>
      </w:r>
      <w:r w:rsidRPr="00CA5DCE">
        <w:t>результатам</w:t>
      </w:r>
      <w:r w:rsidRPr="00CA5DCE">
        <w:rPr>
          <w:spacing w:val="-8"/>
        </w:rPr>
        <w:t xml:space="preserve"> </w:t>
      </w:r>
      <w:r w:rsidRPr="00CA5DCE">
        <w:t>проведенного</w:t>
      </w:r>
      <w:r w:rsidRPr="00CA5DCE">
        <w:rPr>
          <w:spacing w:val="-5"/>
        </w:rPr>
        <w:t xml:space="preserve"> </w:t>
      </w:r>
      <w:r w:rsidRPr="00CA5DCE">
        <w:t>анализа</w:t>
      </w:r>
      <w:r w:rsidRPr="00CA5DCE">
        <w:rPr>
          <w:spacing w:val="-8"/>
        </w:rPr>
        <w:t xml:space="preserve"> </w:t>
      </w:r>
      <w:r w:rsidRPr="00CA5DCE">
        <w:t>установлено</w:t>
      </w:r>
      <w:r w:rsidRPr="00CA5DCE">
        <w:rPr>
          <w:spacing w:val="-6"/>
        </w:rPr>
        <w:t xml:space="preserve"> </w:t>
      </w:r>
      <w:r w:rsidRPr="00CA5DCE">
        <w:rPr>
          <w:spacing w:val="-2"/>
        </w:rPr>
        <w:t>следующее:</w:t>
      </w:r>
    </w:p>
    <w:p w:rsidR="00827D6C" w:rsidRPr="00CA5DCE" w:rsidRDefault="00782175" w:rsidP="007E787A">
      <w:pPr>
        <w:pStyle w:val="a3"/>
        <w:ind w:right="150"/>
      </w:pPr>
      <w:r w:rsidRPr="00CA5DCE">
        <w:t>рассмотрения</w:t>
      </w:r>
      <w:r w:rsidRPr="00CA5DCE">
        <w:rPr>
          <w:spacing w:val="-2"/>
        </w:rPr>
        <w:t xml:space="preserve"> </w:t>
      </w:r>
      <w:r w:rsidRPr="00CA5DCE">
        <w:t>дел</w:t>
      </w:r>
      <w:r w:rsidRPr="00CA5DCE">
        <w:rPr>
          <w:spacing w:val="-1"/>
        </w:rPr>
        <w:t xml:space="preserve"> </w:t>
      </w:r>
      <w:r w:rsidRPr="00CA5DCE">
        <w:t>по вопросам</w:t>
      </w:r>
      <w:r w:rsidRPr="00CA5DCE">
        <w:rPr>
          <w:spacing w:val="-1"/>
        </w:rPr>
        <w:t xml:space="preserve"> </w:t>
      </w:r>
      <w:r w:rsidRPr="00CA5DCE">
        <w:t>применения</w:t>
      </w:r>
      <w:r w:rsidRPr="00CA5DCE">
        <w:rPr>
          <w:spacing w:val="-2"/>
        </w:rPr>
        <w:t xml:space="preserve"> </w:t>
      </w:r>
      <w:r w:rsidRPr="00CA5DCE">
        <w:t>и нарушения Министерством</w:t>
      </w:r>
      <w:r w:rsidRPr="00CA5DCE">
        <w:rPr>
          <w:spacing w:val="-1"/>
        </w:rPr>
        <w:t xml:space="preserve"> </w:t>
      </w:r>
      <w:r w:rsidRPr="00CA5DCE">
        <w:t>норм антимонопольного законодательства в судебн</w:t>
      </w:r>
      <w:r w:rsidR="000D2395" w:rsidRPr="00CA5DCE">
        <w:t>ых инстанциях не осуществлялось</w:t>
      </w:r>
      <w:r w:rsidR="007E787A" w:rsidRPr="00CA5DCE">
        <w:t xml:space="preserve"> </w:t>
      </w:r>
      <w:r w:rsidRPr="00CA5DCE">
        <w:t>нормативные правовые акты Министерства, в которых Управлением Федеральной антимонопольной службы выявлены нарушения антимонопольного законодательства в указанный период, отсутствуют;</w:t>
      </w:r>
    </w:p>
    <w:p w:rsidR="000D2395" w:rsidRPr="00CA5DCE" w:rsidRDefault="000D2395" w:rsidP="000D2395">
      <w:pPr>
        <w:pStyle w:val="a3"/>
        <w:spacing w:before="2"/>
        <w:ind w:right="136"/>
      </w:pPr>
      <w:r w:rsidRPr="00CA5DCE">
        <w:t>Управлением Федеральной антимонопольной службы по Республике Татарстан в 2025 году выявлено одно нарушение в сфере закупок, а именно: нарушение требований части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</w:t>
      </w:r>
      <w:r w:rsidR="007E787A" w:rsidRPr="00CA5DCE">
        <w:t xml:space="preserve">х нужд». Нарушение выразилось в </w:t>
      </w:r>
      <w:r w:rsidR="007E787A" w:rsidRPr="00CA5DCE">
        <w:rPr>
          <w:b/>
          <w:bCs/>
        </w:rPr>
        <w:t xml:space="preserve">не </w:t>
      </w:r>
      <w:proofErr w:type="gramStart"/>
      <w:r w:rsidR="007E787A" w:rsidRPr="00CA5DCE">
        <w:rPr>
          <w:b/>
          <w:bCs/>
        </w:rPr>
        <w:t>подписании</w:t>
      </w:r>
      <w:r w:rsidR="007E787A" w:rsidRPr="00CA5DCE">
        <w:t xml:space="preserve">  </w:t>
      </w:r>
      <w:r w:rsidRPr="00CA5DCE">
        <w:t>в</w:t>
      </w:r>
      <w:proofErr w:type="gramEnd"/>
      <w:r w:rsidRPr="00CA5DCE">
        <w:t xml:space="preserve"> установленный срок усиленной электронной подписью документа о приемке лицом, имеющим право действовать от имени заказчика, и его последующем размещении в единой информационной системе.</w:t>
      </w:r>
    </w:p>
    <w:p w:rsidR="000D2395" w:rsidRPr="00CA5DCE" w:rsidRDefault="000D2395" w:rsidP="000D2395">
      <w:pPr>
        <w:pStyle w:val="a3"/>
        <w:spacing w:before="2"/>
        <w:ind w:right="136"/>
      </w:pPr>
      <w:r w:rsidRPr="00CA5DCE">
        <w:t xml:space="preserve">По результатам рассмотрения дела на должностное лицо Министерства </w:t>
      </w:r>
      <w:r w:rsidRPr="00CA5DCE">
        <w:lastRenderedPageBreak/>
        <w:t>наложено административное наказание в виде предупреждения. Причины, способствовавшие совершению нарушения, устранены. Сотрудники структурных подразделений Министерства проинформированы о практике применения законодательства о контрактной системе по данному факту в целях недопущения аналогичных случаев.</w:t>
      </w:r>
    </w:p>
    <w:p w:rsidR="00827D6C" w:rsidRPr="00CA5DCE" w:rsidRDefault="00782175">
      <w:pPr>
        <w:pStyle w:val="a4"/>
        <w:numPr>
          <w:ilvl w:val="0"/>
          <w:numId w:val="2"/>
        </w:numPr>
        <w:tabs>
          <w:tab w:val="left" w:pos="1338"/>
        </w:tabs>
        <w:spacing w:before="1"/>
        <w:ind w:right="143" w:firstLine="708"/>
        <w:jc w:val="both"/>
        <w:rPr>
          <w:i/>
          <w:sz w:val="28"/>
        </w:rPr>
      </w:pPr>
      <w:proofErr w:type="gramStart"/>
      <w:r w:rsidRPr="00CA5DCE">
        <w:rPr>
          <w:i/>
          <w:sz w:val="28"/>
        </w:rPr>
        <w:t>анализ</w:t>
      </w:r>
      <w:r w:rsidRPr="00CA5DCE">
        <w:rPr>
          <w:i/>
          <w:spacing w:val="40"/>
          <w:sz w:val="28"/>
        </w:rPr>
        <w:t xml:space="preserve">  </w:t>
      </w:r>
      <w:r w:rsidRPr="00CA5DCE">
        <w:rPr>
          <w:i/>
          <w:sz w:val="28"/>
        </w:rPr>
        <w:t>нормативных</w:t>
      </w:r>
      <w:proofErr w:type="gramEnd"/>
      <w:r w:rsidRPr="00CA5DCE">
        <w:rPr>
          <w:i/>
          <w:spacing w:val="40"/>
          <w:sz w:val="28"/>
        </w:rPr>
        <w:t xml:space="preserve">  </w:t>
      </w:r>
      <w:r w:rsidRPr="00CA5DCE">
        <w:rPr>
          <w:i/>
          <w:sz w:val="28"/>
        </w:rPr>
        <w:t>правовых</w:t>
      </w:r>
      <w:r w:rsidRPr="00CA5DCE">
        <w:rPr>
          <w:i/>
          <w:spacing w:val="40"/>
          <w:sz w:val="28"/>
        </w:rPr>
        <w:t xml:space="preserve">  </w:t>
      </w:r>
      <w:r w:rsidRPr="00CA5DCE">
        <w:rPr>
          <w:i/>
          <w:sz w:val="28"/>
        </w:rPr>
        <w:t>актов</w:t>
      </w:r>
      <w:r w:rsidRPr="00CA5DCE">
        <w:rPr>
          <w:i/>
          <w:spacing w:val="40"/>
          <w:sz w:val="28"/>
        </w:rPr>
        <w:t xml:space="preserve">  </w:t>
      </w:r>
      <w:r w:rsidRPr="00CA5DCE">
        <w:rPr>
          <w:i/>
          <w:sz w:val="28"/>
        </w:rPr>
        <w:t>Министерства</w:t>
      </w:r>
      <w:r w:rsidRPr="00CA5DCE">
        <w:rPr>
          <w:i/>
          <w:spacing w:val="40"/>
          <w:sz w:val="28"/>
        </w:rPr>
        <w:t xml:space="preserve">  </w:t>
      </w:r>
      <w:r w:rsidRPr="00CA5DCE">
        <w:rPr>
          <w:i/>
          <w:sz w:val="28"/>
        </w:rPr>
        <w:t>на</w:t>
      </w:r>
      <w:r w:rsidRPr="00CA5DCE">
        <w:rPr>
          <w:i/>
          <w:spacing w:val="40"/>
          <w:sz w:val="28"/>
        </w:rPr>
        <w:t xml:space="preserve">  </w:t>
      </w:r>
      <w:r w:rsidRPr="00CA5DCE">
        <w:rPr>
          <w:i/>
          <w:sz w:val="28"/>
        </w:rPr>
        <w:t>предмет их соответствия антимонопольному законодательству.</w:t>
      </w:r>
    </w:p>
    <w:p w:rsidR="00724982" w:rsidRPr="00CA5DCE" w:rsidRDefault="00724982">
      <w:pPr>
        <w:pStyle w:val="a3"/>
        <w:ind w:right="142"/>
      </w:pPr>
      <w:r w:rsidRPr="00CA5DCE">
        <w:t>В 2025 году отделом государственной службы, кадровой и юридической работы проведен </w:t>
      </w:r>
      <w:r w:rsidRPr="00CA5DCE">
        <w:rPr>
          <w:bCs/>
        </w:rPr>
        <w:t>мониторинг и правовая экспертиза</w:t>
      </w:r>
      <w:r w:rsidRPr="00CA5DCE">
        <w:t> действующих нормативных правовых актов на предмет их соответствия антимонопольному законодательству. По результатам анализа </w:t>
      </w:r>
      <w:r w:rsidRPr="00CA5DCE">
        <w:rPr>
          <w:bCs/>
        </w:rPr>
        <w:t>актов, содержащих риски нарушения законодательства, не выявлено.</w:t>
      </w:r>
    </w:p>
    <w:p w:rsidR="00827D6C" w:rsidRPr="00CA5DCE" w:rsidRDefault="00782175">
      <w:pPr>
        <w:pStyle w:val="a3"/>
        <w:ind w:right="136"/>
      </w:pPr>
      <w:r w:rsidRPr="00CA5DCE">
        <w:t>В</w:t>
      </w:r>
      <w:r w:rsidRPr="00CA5DCE">
        <w:rPr>
          <w:spacing w:val="-3"/>
        </w:rPr>
        <w:t xml:space="preserve"> </w:t>
      </w:r>
      <w:r w:rsidRPr="00CA5DCE">
        <w:t>целях</w:t>
      </w:r>
      <w:r w:rsidRPr="00CA5DCE">
        <w:rPr>
          <w:spacing w:val="-2"/>
        </w:rPr>
        <w:t xml:space="preserve"> </w:t>
      </w:r>
      <w:r w:rsidRPr="00CA5DCE">
        <w:t>снижения</w:t>
      </w:r>
      <w:r w:rsidRPr="00CA5DCE">
        <w:rPr>
          <w:spacing w:val="-5"/>
        </w:rPr>
        <w:t xml:space="preserve"> </w:t>
      </w:r>
      <w:r w:rsidRPr="00CA5DCE">
        <w:t>рисков</w:t>
      </w:r>
      <w:r w:rsidRPr="00CA5DCE">
        <w:rPr>
          <w:spacing w:val="-3"/>
        </w:rPr>
        <w:t xml:space="preserve"> </w:t>
      </w:r>
      <w:r w:rsidRPr="00CA5DCE">
        <w:t>нарушения</w:t>
      </w:r>
      <w:r w:rsidRPr="00CA5DCE">
        <w:rPr>
          <w:spacing w:val="-2"/>
        </w:rPr>
        <w:t xml:space="preserve"> </w:t>
      </w:r>
      <w:r w:rsidRPr="00CA5DCE">
        <w:t>антимонопольного</w:t>
      </w:r>
      <w:r w:rsidRPr="00CA5DCE">
        <w:rPr>
          <w:spacing w:val="-4"/>
        </w:rPr>
        <w:t xml:space="preserve"> </w:t>
      </w:r>
      <w:r w:rsidRPr="00CA5DCE">
        <w:t>законодательства</w:t>
      </w:r>
      <w:r w:rsidRPr="00CA5DCE">
        <w:rPr>
          <w:spacing w:val="-2"/>
        </w:rPr>
        <w:t xml:space="preserve"> </w:t>
      </w:r>
      <w:r w:rsidRPr="00CA5DCE">
        <w:t>был разработан</w:t>
      </w:r>
      <w:r w:rsidRPr="00CA5DCE">
        <w:rPr>
          <w:spacing w:val="80"/>
          <w:w w:val="150"/>
        </w:rPr>
        <w:t xml:space="preserve"> </w:t>
      </w:r>
      <w:r w:rsidRPr="00CA5DCE">
        <w:t>и</w:t>
      </w:r>
      <w:r w:rsidRPr="00CA5DCE">
        <w:rPr>
          <w:spacing w:val="80"/>
          <w:w w:val="150"/>
        </w:rPr>
        <w:t xml:space="preserve"> </w:t>
      </w:r>
      <w:r w:rsidRPr="00CA5DCE">
        <w:t>утвержден</w:t>
      </w:r>
      <w:r w:rsidRPr="00CA5DCE">
        <w:rPr>
          <w:spacing w:val="80"/>
          <w:w w:val="150"/>
        </w:rPr>
        <w:t xml:space="preserve"> </w:t>
      </w:r>
      <w:r w:rsidRPr="00CA5DCE">
        <w:t>министром</w:t>
      </w:r>
      <w:r w:rsidRPr="00CA5DCE">
        <w:rPr>
          <w:spacing w:val="80"/>
          <w:w w:val="150"/>
        </w:rPr>
        <w:t xml:space="preserve"> </w:t>
      </w:r>
      <w:r w:rsidRPr="00CA5DCE">
        <w:t>План</w:t>
      </w:r>
      <w:r w:rsidRPr="00CA5DCE">
        <w:rPr>
          <w:spacing w:val="80"/>
          <w:w w:val="150"/>
        </w:rPr>
        <w:t xml:space="preserve"> </w:t>
      </w:r>
      <w:r w:rsidRPr="00CA5DCE">
        <w:t>мероприятий</w:t>
      </w:r>
      <w:r w:rsidRPr="00CA5DCE">
        <w:rPr>
          <w:spacing w:val="80"/>
          <w:w w:val="150"/>
        </w:rPr>
        <w:t xml:space="preserve"> </w:t>
      </w:r>
      <w:r w:rsidRPr="00CA5DCE">
        <w:t>(«дорожная</w:t>
      </w:r>
      <w:r w:rsidRPr="00CA5DCE">
        <w:rPr>
          <w:spacing w:val="80"/>
          <w:w w:val="150"/>
        </w:rPr>
        <w:t xml:space="preserve"> </w:t>
      </w:r>
      <w:r w:rsidRPr="00CA5DCE">
        <w:t>карта»)</w:t>
      </w:r>
      <w:r w:rsidRPr="00CA5DCE">
        <w:rPr>
          <w:spacing w:val="80"/>
        </w:rPr>
        <w:t xml:space="preserve"> </w:t>
      </w:r>
      <w:r w:rsidRPr="00CA5DCE">
        <w:t>по</w:t>
      </w:r>
      <w:r w:rsidRPr="00CA5DCE">
        <w:rPr>
          <w:spacing w:val="73"/>
        </w:rPr>
        <w:t xml:space="preserve">   </w:t>
      </w:r>
      <w:r w:rsidRPr="00CA5DCE">
        <w:t>снижению</w:t>
      </w:r>
      <w:r w:rsidRPr="00CA5DCE">
        <w:rPr>
          <w:spacing w:val="72"/>
        </w:rPr>
        <w:t xml:space="preserve"> </w:t>
      </w:r>
      <w:r w:rsidRPr="00CA5DCE">
        <w:t>рисков</w:t>
      </w:r>
      <w:r w:rsidRPr="00CA5DCE">
        <w:rPr>
          <w:spacing w:val="72"/>
        </w:rPr>
        <w:t xml:space="preserve">   </w:t>
      </w:r>
      <w:r w:rsidRPr="00CA5DCE">
        <w:t>нарушения</w:t>
      </w:r>
      <w:r w:rsidRPr="00CA5DCE">
        <w:rPr>
          <w:spacing w:val="72"/>
        </w:rPr>
        <w:t xml:space="preserve">   </w:t>
      </w:r>
      <w:r w:rsidRPr="00CA5DCE">
        <w:t>антимонопольного</w:t>
      </w:r>
      <w:r w:rsidRPr="00CA5DCE">
        <w:rPr>
          <w:spacing w:val="75"/>
        </w:rPr>
        <w:t xml:space="preserve">   </w:t>
      </w:r>
      <w:r w:rsidRPr="00CA5DCE">
        <w:t>законо</w:t>
      </w:r>
      <w:r w:rsidR="008B1281" w:rsidRPr="00CA5DCE">
        <w:t>дательства в Министерств</w:t>
      </w:r>
      <w:r w:rsidR="008D62BB" w:rsidRPr="00CA5DCE">
        <w:t>е</w:t>
      </w:r>
      <w:r w:rsidR="008B1281" w:rsidRPr="00CA5DCE">
        <w:t xml:space="preserve"> на 2026</w:t>
      </w:r>
      <w:r w:rsidRPr="00CA5DCE">
        <w:t xml:space="preserve"> год.</w:t>
      </w:r>
    </w:p>
    <w:p w:rsidR="00724982" w:rsidRPr="00CA5DCE" w:rsidRDefault="00394C39">
      <w:pPr>
        <w:pStyle w:val="a3"/>
        <w:ind w:right="140"/>
      </w:pPr>
      <w:r w:rsidRPr="00CA5DCE">
        <w:t>В целях исключения антимонопольных рисков отдел государственной службы, кадровой и юридической работы обеспечивает проведение правовой экспертизы разрабатываемых структурными подразделениями проектов правовых, в том числе нормативных правовых актов, а также заключаемых Министерством договоров и соглашений</w:t>
      </w:r>
      <w:r w:rsidR="00724982" w:rsidRPr="00CA5DCE">
        <w:t>.</w:t>
      </w:r>
    </w:p>
    <w:p w:rsidR="00827D6C" w:rsidRPr="00CA5DCE" w:rsidRDefault="00782175">
      <w:pPr>
        <w:pStyle w:val="a3"/>
        <w:tabs>
          <w:tab w:val="left" w:pos="3056"/>
          <w:tab w:val="left" w:pos="5446"/>
          <w:tab w:val="left" w:pos="8034"/>
        </w:tabs>
        <w:ind w:right="141"/>
      </w:pPr>
      <w:r w:rsidRPr="00CA5DCE">
        <w:rPr>
          <w:spacing w:val="-2"/>
        </w:rPr>
        <w:t>Ключевыми</w:t>
      </w:r>
      <w:r w:rsidRPr="00CA5DCE">
        <w:tab/>
      </w:r>
      <w:r w:rsidRPr="00CA5DCE">
        <w:rPr>
          <w:spacing w:val="-2"/>
        </w:rPr>
        <w:t>показателями</w:t>
      </w:r>
      <w:r w:rsidRPr="00CA5DCE">
        <w:tab/>
      </w:r>
      <w:r w:rsidRPr="00CA5DCE">
        <w:rPr>
          <w:spacing w:val="-2"/>
        </w:rPr>
        <w:t>эффективности</w:t>
      </w:r>
      <w:r w:rsidRPr="00CA5DCE">
        <w:tab/>
      </w:r>
      <w:r w:rsidRPr="00CA5DCE">
        <w:rPr>
          <w:spacing w:val="-2"/>
        </w:rPr>
        <w:t xml:space="preserve">функционирования </w:t>
      </w:r>
      <w:r w:rsidRPr="00CA5DCE">
        <w:t>антимонопольного комплаенса в Министерстве являются:</w:t>
      </w:r>
    </w:p>
    <w:p w:rsidR="00827D6C" w:rsidRPr="00CA5DCE" w:rsidRDefault="00782175">
      <w:pPr>
        <w:pStyle w:val="a4"/>
        <w:numPr>
          <w:ilvl w:val="0"/>
          <w:numId w:val="1"/>
        </w:numPr>
        <w:tabs>
          <w:tab w:val="left" w:pos="1364"/>
          <w:tab w:val="left" w:pos="3323"/>
          <w:tab w:val="left" w:pos="4800"/>
          <w:tab w:val="left" w:pos="6444"/>
          <w:tab w:val="left" w:pos="8089"/>
        </w:tabs>
        <w:ind w:firstLine="708"/>
        <w:rPr>
          <w:sz w:val="28"/>
        </w:rPr>
      </w:pPr>
      <w:r w:rsidRPr="00CA5DCE">
        <w:rPr>
          <w:spacing w:val="-2"/>
          <w:sz w:val="28"/>
        </w:rPr>
        <w:t>Коэффициент</w:t>
      </w:r>
      <w:r w:rsidRPr="00CA5DCE">
        <w:rPr>
          <w:sz w:val="28"/>
        </w:rPr>
        <w:tab/>
      </w:r>
      <w:r w:rsidRPr="00CA5DCE">
        <w:rPr>
          <w:spacing w:val="-2"/>
          <w:sz w:val="28"/>
        </w:rPr>
        <w:t>снижения</w:t>
      </w:r>
      <w:r w:rsidRPr="00CA5DCE">
        <w:rPr>
          <w:sz w:val="28"/>
        </w:rPr>
        <w:tab/>
      </w:r>
      <w:r w:rsidRPr="00CA5DCE">
        <w:rPr>
          <w:spacing w:val="-2"/>
          <w:sz w:val="28"/>
        </w:rPr>
        <w:t>количества</w:t>
      </w:r>
      <w:r w:rsidRPr="00CA5DCE">
        <w:rPr>
          <w:sz w:val="28"/>
        </w:rPr>
        <w:tab/>
      </w:r>
      <w:r w:rsidRPr="00CA5DCE">
        <w:rPr>
          <w:spacing w:val="-2"/>
          <w:sz w:val="28"/>
        </w:rPr>
        <w:t>нарушений</w:t>
      </w:r>
      <w:r w:rsidRPr="00CA5DCE">
        <w:rPr>
          <w:sz w:val="28"/>
        </w:rPr>
        <w:tab/>
      </w:r>
      <w:r w:rsidRPr="00CA5DCE">
        <w:rPr>
          <w:spacing w:val="-2"/>
          <w:sz w:val="28"/>
        </w:rPr>
        <w:t xml:space="preserve">антимонопольного </w:t>
      </w:r>
      <w:r w:rsidRPr="00CA5DCE">
        <w:rPr>
          <w:sz w:val="28"/>
        </w:rPr>
        <w:t>законодательства со стороны Министерства.</w:t>
      </w:r>
    </w:p>
    <w:p w:rsidR="00827D6C" w:rsidRPr="00CA5DCE" w:rsidRDefault="00782175">
      <w:pPr>
        <w:pStyle w:val="a4"/>
        <w:numPr>
          <w:ilvl w:val="0"/>
          <w:numId w:val="1"/>
        </w:numPr>
        <w:tabs>
          <w:tab w:val="left" w:pos="1215"/>
        </w:tabs>
        <w:spacing w:before="1"/>
        <w:ind w:firstLine="708"/>
        <w:rPr>
          <w:sz w:val="28"/>
        </w:rPr>
      </w:pPr>
      <w:r w:rsidRPr="00CA5DCE">
        <w:rPr>
          <w:sz w:val="28"/>
        </w:rPr>
        <w:t>Доля</w:t>
      </w:r>
      <w:r w:rsidRPr="00CA5DCE">
        <w:rPr>
          <w:spacing w:val="40"/>
          <w:sz w:val="28"/>
        </w:rPr>
        <w:t xml:space="preserve"> </w:t>
      </w:r>
      <w:r w:rsidRPr="00CA5DCE">
        <w:rPr>
          <w:sz w:val="28"/>
        </w:rPr>
        <w:t>проектов</w:t>
      </w:r>
      <w:r w:rsidRPr="00CA5DCE">
        <w:rPr>
          <w:spacing w:val="40"/>
          <w:sz w:val="28"/>
        </w:rPr>
        <w:t xml:space="preserve"> </w:t>
      </w:r>
      <w:r w:rsidRPr="00CA5DCE">
        <w:rPr>
          <w:sz w:val="28"/>
        </w:rPr>
        <w:t>нормативных</w:t>
      </w:r>
      <w:r w:rsidRPr="00CA5DCE">
        <w:rPr>
          <w:spacing w:val="40"/>
          <w:sz w:val="28"/>
        </w:rPr>
        <w:t xml:space="preserve"> </w:t>
      </w:r>
      <w:r w:rsidRPr="00CA5DCE">
        <w:rPr>
          <w:sz w:val="28"/>
        </w:rPr>
        <w:t>правовых</w:t>
      </w:r>
      <w:r w:rsidRPr="00CA5DCE">
        <w:rPr>
          <w:spacing w:val="40"/>
          <w:sz w:val="28"/>
        </w:rPr>
        <w:t xml:space="preserve"> </w:t>
      </w:r>
      <w:r w:rsidRPr="00CA5DCE">
        <w:rPr>
          <w:sz w:val="28"/>
        </w:rPr>
        <w:t>актов</w:t>
      </w:r>
      <w:r w:rsidRPr="00CA5DCE">
        <w:rPr>
          <w:spacing w:val="40"/>
          <w:sz w:val="28"/>
        </w:rPr>
        <w:t xml:space="preserve"> </w:t>
      </w:r>
      <w:r w:rsidRPr="00CA5DCE">
        <w:rPr>
          <w:sz w:val="28"/>
        </w:rPr>
        <w:t>Министерства,</w:t>
      </w:r>
      <w:r w:rsidRPr="00CA5DCE">
        <w:rPr>
          <w:spacing w:val="40"/>
          <w:sz w:val="28"/>
        </w:rPr>
        <w:t xml:space="preserve"> </w:t>
      </w:r>
      <w:r w:rsidRPr="00CA5DCE">
        <w:rPr>
          <w:sz w:val="28"/>
        </w:rPr>
        <w:t>в</w:t>
      </w:r>
      <w:r w:rsidRPr="00CA5DCE">
        <w:rPr>
          <w:spacing w:val="40"/>
          <w:sz w:val="28"/>
        </w:rPr>
        <w:t xml:space="preserve"> </w:t>
      </w:r>
      <w:r w:rsidRPr="00CA5DCE">
        <w:rPr>
          <w:sz w:val="28"/>
        </w:rPr>
        <w:t>которых</w:t>
      </w:r>
      <w:r w:rsidRPr="00CA5DCE">
        <w:rPr>
          <w:spacing w:val="80"/>
          <w:sz w:val="28"/>
        </w:rPr>
        <w:t xml:space="preserve"> </w:t>
      </w:r>
      <w:r w:rsidRPr="00CA5DCE">
        <w:rPr>
          <w:sz w:val="28"/>
        </w:rPr>
        <w:t>выявлены риски нарушения антимонопольного законодательства.</w:t>
      </w:r>
    </w:p>
    <w:p w:rsidR="00827D6C" w:rsidRPr="00CA5DCE" w:rsidRDefault="00782175">
      <w:pPr>
        <w:pStyle w:val="a4"/>
        <w:numPr>
          <w:ilvl w:val="0"/>
          <w:numId w:val="1"/>
        </w:numPr>
        <w:tabs>
          <w:tab w:val="left" w:pos="1203"/>
        </w:tabs>
        <w:ind w:right="141" w:firstLine="708"/>
        <w:rPr>
          <w:sz w:val="28"/>
        </w:rPr>
      </w:pPr>
      <w:r w:rsidRPr="00CA5DCE">
        <w:rPr>
          <w:sz w:val="28"/>
        </w:rPr>
        <w:t>Доля</w:t>
      </w:r>
      <w:r w:rsidRPr="00CA5DCE">
        <w:rPr>
          <w:spacing w:val="40"/>
          <w:sz w:val="28"/>
        </w:rPr>
        <w:t xml:space="preserve"> </w:t>
      </w:r>
      <w:r w:rsidRPr="00CA5DCE">
        <w:rPr>
          <w:sz w:val="28"/>
        </w:rPr>
        <w:t>нормативных</w:t>
      </w:r>
      <w:r w:rsidRPr="00CA5DCE">
        <w:rPr>
          <w:spacing w:val="40"/>
          <w:sz w:val="28"/>
        </w:rPr>
        <w:t xml:space="preserve"> </w:t>
      </w:r>
      <w:r w:rsidRPr="00CA5DCE">
        <w:rPr>
          <w:sz w:val="28"/>
        </w:rPr>
        <w:t>правовых</w:t>
      </w:r>
      <w:r w:rsidRPr="00CA5DCE">
        <w:rPr>
          <w:spacing w:val="40"/>
          <w:sz w:val="28"/>
        </w:rPr>
        <w:t xml:space="preserve"> </w:t>
      </w:r>
      <w:r w:rsidRPr="00CA5DCE">
        <w:rPr>
          <w:sz w:val="28"/>
        </w:rPr>
        <w:t>актов</w:t>
      </w:r>
      <w:r w:rsidRPr="00CA5DCE">
        <w:rPr>
          <w:spacing w:val="40"/>
          <w:sz w:val="28"/>
        </w:rPr>
        <w:t xml:space="preserve"> </w:t>
      </w:r>
      <w:r w:rsidRPr="00CA5DCE">
        <w:rPr>
          <w:sz w:val="28"/>
        </w:rPr>
        <w:t>Министерства,</w:t>
      </w:r>
      <w:r w:rsidRPr="00CA5DCE">
        <w:rPr>
          <w:spacing w:val="40"/>
          <w:sz w:val="28"/>
        </w:rPr>
        <w:t xml:space="preserve"> </w:t>
      </w:r>
      <w:r w:rsidRPr="00CA5DCE">
        <w:rPr>
          <w:sz w:val="28"/>
        </w:rPr>
        <w:t>в</w:t>
      </w:r>
      <w:r w:rsidRPr="00CA5DCE">
        <w:rPr>
          <w:spacing w:val="40"/>
          <w:sz w:val="28"/>
        </w:rPr>
        <w:t xml:space="preserve"> </w:t>
      </w:r>
      <w:r w:rsidRPr="00CA5DCE">
        <w:rPr>
          <w:sz w:val="28"/>
        </w:rPr>
        <w:t>которых</w:t>
      </w:r>
      <w:r w:rsidRPr="00CA5DCE">
        <w:rPr>
          <w:spacing w:val="40"/>
          <w:sz w:val="28"/>
        </w:rPr>
        <w:t xml:space="preserve"> </w:t>
      </w:r>
      <w:r w:rsidRPr="00CA5DCE">
        <w:rPr>
          <w:sz w:val="28"/>
        </w:rPr>
        <w:t>выявлены риски нарушения антимонопольного законодательства.</w:t>
      </w:r>
    </w:p>
    <w:p w:rsidR="00827D6C" w:rsidRDefault="00782175">
      <w:pPr>
        <w:pStyle w:val="a3"/>
        <w:jc w:val="left"/>
      </w:pPr>
      <w:r w:rsidRPr="00CA5DCE">
        <w:t>Ключевые</w:t>
      </w:r>
      <w:r w:rsidRPr="00CA5DCE">
        <w:rPr>
          <w:spacing w:val="80"/>
        </w:rPr>
        <w:t xml:space="preserve"> </w:t>
      </w:r>
      <w:r w:rsidRPr="00CA5DCE">
        <w:t>показатели</w:t>
      </w:r>
      <w:r w:rsidRPr="00CA5DCE">
        <w:rPr>
          <w:spacing w:val="80"/>
        </w:rPr>
        <w:t xml:space="preserve"> </w:t>
      </w:r>
      <w:r w:rsidRPr="00CA5DCE">
        <w:t>эффективности</w:t>
      </w:r>
      <w:r w:rsidRPr="00CA5DCE">
        <w:rPr>
          <w:spacing w:val="80"/>
        </w:rPr>
        <w:t xml:space="preserve"> </w:t>
      </w:r>
      <w:r w:rsidRPr="00CA5DCE">
        <w:t>функционирования</w:t>
      </w:r>
      <w:r w:rsidRPr="00CA5DCE">
        <w:rPr>
          <w:spacing w:val="80"/>
        </w:rPr>
        <w:t xml:space="preserve"> </w:t>
      </w:r>
      <w:r w:rsidRPr="00CA5DCE">
        <w:t>в</w:t>
      </w:r>
      <w:r w:rsidRPr="00CA5DCE">
        <w:rPr>
          <w:spacing w:val="80"/>
        </w:rPr>
        <w:t xml:space="preserve"> </w:t>
      </w:r>
      <w:r w:rsidRPr="00CA5DCE">
        <w:t>Министерстве ан</w:t>
      </w:r>
      <w:r w:rsidR="008B1281" w:rsidRPr="00CA5DCE">
        <w:t>тимонопольного комплаенса в 2025</w:t>
      </w:r>
      <w:r w:rsidRPr="00CA5DCE">
        <w:t xml:space="preserve"> году достигнуты.</w:t>
      </w:r>
    </w:p>
    <w:sectPr w:rsidR="00827D6C" w:rsidSect="007E787A">
      <w:pgSz w:w="11910" w:h="16840"/>
      <w:pgMar w:top="1040" w:right="425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5CEE"/>
    <w:multiLevelType w:val="hybridMultilevel"/>
    <w:tmpl w:val="E1BA31BC"/>
    <w:lvl w:ilvl="0" w:tplc="4EA47F84">
      <w:start w:val="1"/>
      <w:numFmt w:val="decimal"/>
      <w:lvlText w:val="%1)"/>
      <w:lvlJc w:val="left"/>
      <w:pPr>
        <w:ind w:left="140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6A1048F2">
      <w:numFmt w:val="bullet"/>
      <w:lvlText w:val="•"/>
      <w:lvlJc w:val="left"/>
      <w:pPr>
        <w:ind w:left="1174" w:hanging="485"/>
      </w:pPr>
      <w:rPr>
        <w:rFonts w:hint="default"/>
        <w:lang w:val="ru-RU" w:eastAsia="en-US" w:bidi="ar-SA"/>
      </w:rPr>
    </w:lvl>
    <w:lvl w:ilvl="2" w:tplc="D922A712">
      <w:numFmt w:val="bullet"/>
      <w:lvlText w:val="•"/>
      <w:lvlJc w:val="left"/>
      <w:pPr>
        <w:ind w:left="2209" w:hanging="485"/>
      </w:pPr>
      <w:rPr>
        <w:rFonts w:hint="default"/>
        <w:lang w:val="ru-RU" w:eastAsia="en-US" w:bidi="ar-SA"/>
      </w:rPr>
    </w:lvl>
    <w:lvl w:ilvl="3" w:tplc="E0BE54F4">
      <w:numFmt w:val="bullet"/>
      <w:lvlText w:val="•"/>
      <w:lvlJc w:val="left"/>
      <w:pPr>
        <w:ind w:left="3244" w:hanging="485"/>
      </w:pPr>
      <w:rPr>
        <w:rFonts w:hint="default"/>
        <w:lang w:val="ru-RU" w:eastAsia="en-US" w:bidi="ar-SA"/>
      </w:rPr>
    </w:lvl>
    <w:lvl w:ilvl="4" w:tplc="A65A5F44">
      <w:numFmt w:val="bullet"/>
      <w:lvlText w:val="•"/>
      <w:lvlJc w:val="left"/>
      <w:pPr>
        <w:ind w:left="4279" w:hanging="485"/>
      </w:pPr>
      <w:rPr>
        <w:rFonts w:hint="default"/>
        <w:lang w:val="ru-RU" w:eastAsia="en-US" w:bidi="ar-SA"/>
      </w:rPr>
    </w:lvl>
    <w:lvl w:ilvl="5" w:tplc="33F6B41C">
      <w:numFmt w:val="bullet"/>
      <w:lvlText w:val="•"/>
      <w:lvlJc w:val="left"/>
      <w:pPr>
        <w:ind w:left="5314" w:hanging="485"/>
      </w:pPr>
      <w:rPr>
        <w:rFonts w:hint="default"/>
        <w:lang w:val="ru-RU" w:eastAsia="en-US" w:bidi="ar-SA"/>
      </w:rPr>
    </w:lvl>
    <w:lvl w:ilvl="6" w:tplc="239C8BA4">
      <w:numFmt w:val="bullet"/>
      <w:lvlText w:val="•"/>
      <w:lvlJc w:val="left"/>
      <w:pPr>
        <w:ind w:left="6349" w:hanging="485"/>
      </w:pPr>
      <w:rPr>
        <w:rFonts w:hint="default"/>
        <w:lang w:val="ru-RU" w:eastAsia="en-US" w:bidi="ar-SA"/>
      </w:rPr>
    </w:lvl>
    <w:lvl w:ilvl="7" w:tplc="ADE6C454">
      <w:numFmt w:val="bullet"/>
      <w:lvlText w:val="•"/>
      <w:lvlJc w:val="left"/>
      <w:pPr>
        <w:ind w:left="7384" w:hanging="485"/>
      </w:pPr>
      <w:rPr>
        <w:rFonts w:hint="default"/>
        <w:lang w:val="ru-RU" w:eastAsia="en-US" w:bidi="ar-SA"/>
      </w:rPr>
    </w:lvl>
    <w:lvl w:ilvl="8" w:tplc="4BCEB6DA">
      <w:numFmt w:val="bullet"/>
      <w:lvlText w:val="•"/>
      <w:lvlJc w:val="left"/>
      <w:pPr>
        <w:ind w:left="8419" w:hanging="485"/>
      </w:pPr>
      <w:rPr>
        <w:rFonts w:hint="default"/>
        <w:lang w:val="ru-RU" w:eastAsia="en-US" w:bidi="ar-SA"/>
      </w:rPr>
    </w:lvl>
  </w:abstractNum>
  <w:abstractNum w:abstractNumId="1" w15:restartNumberingAfterBreak="0">
    <w:nsid w:val="78BF13B6"/>
    <w:multiLevelType w:val="hybridMultilevel"/>
    <w:tmpl w:val="B156BBD2"/>
    <w:lvl w:ilvl="0" w:tplc="170A54BE">
      <w:start w:val="1"/>
      <w:numFmt w:val="decimal"/>
      <w:lvlText w:val="%1."/>
      <w:lvlJc w:val="left"/>
      <w:pPr>
        <w:ind w:left="140" w:hanging="5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166048">
      <w:numFmt w:val="bullet"/>
      <w:lvlText w:val="•"/>
      <w:lvlJc w:val="left"/>
      <w:pPr>
        <w:ind w:left="1174" w:hanging="516"/>
      </w:pPr>
      <w:rPr>
        <w:rFonts w:hint="default"/>
        <w:lang w:val="ru-RU" w:eastAsia="en-US" w:bidi="ar-SA"/>
      </w:rPr>
    </w:lvl>
    <w:lvl w:ilvl="2" w:tplc="28386B16">
      <w:numFmt w:val="bullet"/>
      <w:lvlText w:val="•"/>
      <w:lvlJc w:val="left"/>
      <w:pPr>
        <w:ind w:left="2209" w:hanging="516"/>
      </w:pPr>
      <w:rPr>
        <w:rFonts w:hint="default"/>
        <w:lang w:val="ru-RU" w:eastAsia="en-US" w:bidi="ar-SA"/>
      </w:rPr>
    </w:lvl>
    <w:lvl w:ilvl="3" w:tplc="8E0A7F4E">
      <w:numFmt w:val="bullet"/>
      <w:lvlText w:val="•"/>
      <w:lvlJc w:val="left"/>
      <w:pPr>
        <w:ind w:left="3244" w:hanging="516"/>
      </w:pPr>
      <w:rPr>
        <w:rFonts w:hint="default"/>
        <w:lang w:val="ru-RU" w:eastAsia="en-US" w:bidi="ar-SA"/>
      </w:rPr>
    </w:lvl>
    <w:lvl w:ilvl="4" w:tplc="6D4A41C6">
      <w:numFmt w:val="bullet"/>
      <w:lvlText w:val="•"/>
      <w:lvlJc w:val="left"/>
      <w:pPr>
        <w:ind w:left="4279" w:hanging="516"/>
      </w:pPr>
      <w:rPr>
        <w:rFonts w:hint="default"/>
        <w:lang w:val="ru-RU" w:eastAsia="en-US" w:bidi="ar-SA"/>
      </w:rPr>
    </w:lvl>
    <w:lvl w:ilvl="5" w:tplc="C060BC9E">
      <w:numFmt w:val="bullet"/>
      <w:lvlText w:val="•"/>
      <w:lvlJc w:val="left"/>
      <w:pPr>
        <w:ind w:left="5314" w:hanging="516"/>
      </w:pPr>
      <w:rPr>
        <w:rFonts w:hint="default"/>
        <w:lang w:val="ru-RU" w:eastAsia="en-US" w:bidi="ar-SA"/>
      </w:rPr>
    </w:lvl>
    <w:lvl w:ilvl="6" w:tplc="8774E96E">
      <w:numFmt w:val="bullet"/>
      <w:lvlText w:val="•"/>
      <w:lvlJc w:val="left"/>
      <w:pPr>
        <w:ind w:left="6349" w:hanging="516"/>
      </w:pPr>
      <w:rPr>
        <w:rFonts w:hint="default"/>
        <w:lang w:val="ru-RU" w:eastAsia="en-US" w:bidi="ar-SA"/>
      </w:rPr>
    </w:lvl>
    <w:lvl w:ilvl="7" w:tplc="CC5435F0">
      <w:numFmt w:val="bullet"/>
      <w:lvlText w:val="•"/>
      <w:lvlJc w:val="left"/>
      <w:pPr>
        <w:ind w:left="7384" w:hanging="516"/>
      </w:pPr>
      <w:rPr>
        <w:rFonts w:hint="default"/>
        <w:lang w:val="ru-RU" w:eastAsia="en-US" w:bidi="ar-SA"/>
      </w:rPr>
    </w:lvl>
    <w:lvl w:ilvl="8" w:tplc="C91E24F0">
      <w:numFmt w:val="bullet"/>
      <w:lvlText w:val="•"/>
      <w:lvlJc w:val="left"/>
      <w:pPr>
        <w:ind w:left="8419" w:hanging="5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6C"/>
    <w:rsid w:val="000D2395"/>
    <w:rsid w:val="00394C39"/>
    <w:rsid w:val="00405895"/>
    <w:rsid w:val="00651692"/>
    <w:rsid w:val="00653044"/>
    <w:rsid w:val="00681107"/>
    <w:rsid w:val="00693BA6"/>
    <w:rsid w:val="006E710B"/>
    <w:rsid w:val="00724982"/>
    <w:rsid w:val="00782175"/>
    <w:rsid w:val="007E787A"/>
    <w:rsid w:val="00827D6C"/>
    <w:rsid w:val="008B1281"/>
    <w:rsid w:val="008D62BB"/>
    <w:rsid w:val="009207B7"/>
    <w:rsid w:val="00C55775"/>
    <w:rsid w:val="00C9011F"/>
    <w:rsid w:val="00CA5DCE"/>
    <w:rsid w:val="00D4648C"/>
    <w:rsid w:val="00DA7FB5"/>
    <w:rsid w:val="00ED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8913"/>
  <w15:docId w15:val="{C9D73A34-94CC-4939-8CCB-F411A028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right="142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821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217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3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Риккинен Альбина Эдуардовна</dc:creator>
  <cp:lastModifiedBy>Риккинен Альбина Эдуардовна</cp:lastModifiedBy>
  <cp:revision>2</cp:revision>
  <cp:lastPrinted>2026-02-18T14:09:00Z</cp:lastPrinted>
  <dcterms:created xsi:type="dcterms:W3CDTF">2026-02-18T14:24:00Z</dcterms:created>
  <dcterms:modified xsi:type="dcterms:W3CDTF">2026-02-18T14:24:00Z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2026-02-16T00:00:00Z</vt:filetime>
  </property>
</Properties>
</file>